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C6A5" w14:textId="4557340C" w:rsidR="00D445BA" w:rsidRPr="00077B16" w:rsidRDefault="005D5BD1" w:rsidP="00876760">
      <w:pPr>
        <w:pStyle w:val="Heading2"/>
      </w:pPr>
      <w:r>
        <w:t xml:space="preserve">Haematology </w:t>
      </w:r>
      <w:r w:rsidR="00D445BA" w:rsidRPr="00077B16">
        <w:t>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5D5BD1">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5D5BD1">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5D5BD1">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6A91633A" w:rsidR="009F45A0" w:rsidRPr="009349D7" w:rsidRDefault="005D5BD1" w:rsidP="00952DFE">
            <w:r w:rsidRPr="00F333F7">
              <w:t>Haematology</w:t>
            </w:r>
          </w:p>
        </w:tc>
      </w:tr>
      <w:tr w:rsidR="005D5BD1" w:rsidRPr="00077B16" w14:paraId="13EFC558" w14:textId="77777777" w:rsidTr="005D5BD1">
        <w:trPr>
          <w:trHeight w:val="469"/>
        </w:trPr>
        <w:tc>
          <w:tcPr>
            <w:tcW w:w="1737" w:type="dxa"/>
          </w:tcPr>
          <w:p w14:paraId="3A56FE41" w14:textId="77777777" w:rsidR="005D5BD1" w:rsidRPr="009349D7" w:rsidRDefault="005D5BD1" w:rsidP="005D5BD1">
            <w:pPr>
              <w:pStyle w:val="Rowheading"/>
              <w:rPr>
                <w:color w:val="000000" w:themeColor="text1"/>
              </w:rPr>
            </w:pPr>
            <w:r w:rsidRPr="009349D7">
              <w:rPr>
                <w:color w:val="000000" w:themeColor="text1"/>
              </w:rPr>
              <w:t>Title</w:t>
            </w:r>
          </w:p>
        </w:tc>
        <w:tc>
          <w:tcPr>
            <w:tcW w:w="7891" w:type="dxa"/>
          </w:tcPr>
          <w:p w14:paraId="557F6919" w14:textId="14D4AA83" w:rsidR="005D5BD1" w:rsidRPr="009349D7" w:rsidRDefault="005D5BD1" w:rsidP="005D5BD1">
            <w:r w:rsidRPr="009F4BE7">
              <w:rPr>
                <w:b/>
                <w:bCs/>
              </w:rPr>
              <w:t>An audit of compliance with the British Society for Haematology guidelines on the assessment and management of bleeding risk prior to invasive procedures</w:t>
            </w:r>
          </w:p>
        </w:tc>
      </w:tr>
      <w:tr w:rsidR="005D5BD1" w:rsidRPr="00077B16" w14:paraId="2B750D7A" w14:textId="77777777" w:rsidTr="005D5BD1">
        <w:trPr>
          <w:trHeight w:val="469"/>
        </w:trPr>
        <w:tc>
          <w:tcPr>
            <w:tcW w:w="1737" w:type="dxa"/>
          </w:tcPr>
          <w:p w14:paraId="70726B9A" w14:textId="77777777" w:rsidR="005D5BD1" w:rsidRPr="009349D7" w:rsidRDefault="005D5BD1" w:rsidP="005D5BD1">
            <w:pPr>
              <w:pStyle w:val="Rowheading"/>
            </w:pPr>
            <w:r w:rsidRPr="009349D7">
              <w:t>Background</w:t>
            </w:r>
          </w:p>
        </w:tc>
        <w:tc>
          <w:tcPr>
            <w:tcW w:w="7891" w:type="dxa"/>
          </w:tcPr>
          <w:p w14:paraId="63BED818" w14:textId="1E7F68C3" w:rsidR="005D5BD1" w:rsidRPr="009349D7" w:rsidRDefault="005D5BD1" w:rsidP="005D5BD1">
            <w:r w:rsidRPr="006F1096">
              <w:t xml:space="preserve">The </w:t>
            </w:r>
            <w:r w:rsidR="0006340B">
              <w:t xml:space="preserve">British Society for Haematology (BSH) </w:t>
            </w:r>
            <w:r w:rsidRPr="006F1096">
              <w:t xml:space="preserve">has published guidance on </w:t>
            </w:r>
            <w:r w:rsidRPr="005C774B">
              <w:t xml:space="preserve">the </w:t>
            </w:r>
            <w:r>
              <w:t xml:space="preserve">assessment and management of </w:t>
            </w:r>
            <w:r w:rsidRPr="005C774B">
              <w:t xml:space="preserve">bleeding risk </w:t>
            </w:r>
            <w:r>
              <w:t xml:space="preserve">prior </w:t>
            </w:r>
            <w:r w:rsidRPr="005C774B">
              <w:t>to invasive procedures</w:t>
            </w:r>
            <w:r w:rsidRPr="006F1096">
              <w:t>.</w:t>
            </w:r>
            <w:r w:rsidR="0006340B" w:rsidRPr="00406097">
              <w:rPr>
                <w:vertAlign w:val="superscript"/>
              </w:rPr>
              <w:t>1</w:t>
            </w:r>
            <w:r w:rsidRPr="006F1096">
              <w:t xml:space="preserve"> This audit will review compliance with </w:t>
            </w:r>
            <w:r>
              <w:t>some of the</w:t>
            </w:r>
            <w:r w:rsidRPr="006F1096">
              <w:t xml:space="preserve"> recommendations made.</w:t>
            </w:r>
          </w:p>
        </w:tc>
      </w:tr>
      <w:tr w:rsidR="005D5BD1" w:rsidRPr="00077B16" w14:paraId="0F7C86E3" w14:textId="77777777" w:rsidTr="005D5BD1">
        <w:trPr>
          <w:trHeight w:val="469"/>
        </w:trPr>
        <w:tc>
          <w:tcPr>
            <w:tcW w:w="1737" w:type="dxa"/>
          </w:tcPr>
          <w:p w14:paraId="4492C55B" w14:textId="121BA009" w:rsidR="005D5BD1" w:rsidRPr="009349D7" w:rsidRDefault="005D5BD1" w:rsidP="005D5BD1">
            <w:pPr>
              <w:pStyle w:val="Rowheading"/>
            </w:pPr>
            <w:r w:rsidRPr="009349D7">
              <w:t>Aim &amp; objectives</w:t>
            </w:r>
          </w:p>
        </w:tc>
        <w:tc>
          <w:tcPr>
            <w:tcW w:w="7891" w:type="dxa"/>
          </w:tcPr>
          <w:p w14:paraId="4382F829" w14:textId="77777777" w:rsidR="005D5BD1" w:rsidRDefault="005D5BD1" w:rsidP="005D5BD1">
            <w:r>
              <w:t xml:space="preserve">To review whether: </w:t>
            </w:r>
          </w:p>
          <w:p w14:paraId="127715D6" w14:textId="18E2C015" w:rsidR="005D5BD1" w:rsidRPr="009F4BE7" w:rsidRDefault="0006340B" w:rsidP="00406097">
            <w:pPr>
              <w:pStyle w:val="ListBullet"/>
              <w:tabs>
                <w:tab w:val="clear" w:pos="360"/>
              </w:tabs>
              <w:ind w:left="425" w:hanging="425"/>
              <w:contextualSpacing w:val="0"/>
            </w:pPr>
            <w:r>
              <w:t>i</w:t>
            </w:r>
            <w:r w:rsidR="005D5BD1" w:rsidRPr="009F4BE7">
              <w:t>nvestigations assessing bleeding risk prior to invasive procedures are performed appropriately</w:t>
            </w:r>
            <w:r>
              <w:t>.</w:t>
            </w:r>
          </w:p>
          <w:p w14:paraId="4DAA0B33" w14:textId="4DEFA4CB" w:rsidR="005D5BD1" w:rsidRPr="00781C28" w:rsidRDefault="0006340B" w:rsidP="00406097">
            <w:pPr>
              <w:pStyle w:val="ListParagraph"/>
              <w:tabs>
                <w:tab w:val="clear" w:pos="360"/>
              </w:tabs>
            </w:pPr>
            <w:r>
              <w:t>p</w:t>
            </w:r>
            <w:r w:rsidR="005D5BD1" w:rsidRPr="009F4BE7">
              <w:t>atients with bleeding risk prior to invasive procedures are being managed appropriately</w:t>
            </w:r>
            <w:r>
              <w:t>.</w:t>
            </w:r>
          </w:p>
        </w:tc>
      </w:tr>
      <w:tr w:rsidR="005D5BD1" w:rsidRPr="00077B16" w14:paraId="4FF25260" w14:textId="77777777" w:rsidTr="005D5BD1">
        <w:trPr>
          <w:trHeight w:val="119"/>
        </w:trPr>
        <w:tc>
          <w:tcPr>
            <w:tcW w:w="1737" w:type="dxa"/>
          </w:tcPr>
          <w:p w14:paraId="374F6066" w14:textId="664AEB7E" w:rsidR="005D5BD1" w:rsidRPr="009349D7" w:rsidRDefault="005D5BD1" w:rsidP="005D5BD1">
            <w:pPr>
              <w:pStyle w:val="Rowheading"/>
            </w:pPr>
            <w:r w:rsidRPr="009349D7">
              <w:t>Standards &amp; criteria</w:t>
            </w:r>
          </w:p>
        </w:tc>
        <w:tc>
          <w:tcPr>
            <w:tcW w:w="7891" w:type="dxa"/>
          </w:tcPr>
          <w:p w14:paraId="2134281B" w14:textId="600A3904" w:rsidR="005D5BD1" w:rsidRDefault="005D5BD1" w:rsidP="005D5BD1">
            <w:r w:rsidRPr="009349D7">
              <w:rPr>
                <w:b/>
              </w:rPr>
              <w:t xml:space="preserve">Criteria range: </w:t>
            </w:r>
            <w:r w:rsidRPr="00DA73A6">
              <w:t>100%, or if not achieved, there is documentation in the case notes that explains the variance</w:t>
            </w:r>
            <w:r>
              <w:t>. For standards with an * the criteria range indicates the standard was 100% not done (</w:t>
            </w:r>
            <w:r w:rsidRPr="00750035">
              <w:t>if not achieved, there is documentation in the case notes that explains the variance</w:t>
            </w:r>
            <w:r>
              <w:t>).</w:t>
            </w:r>
          </w:p>
          <w:p w14:paraId="68F34E66" w14:textId="75B98910" w:rsidR="005D5BD1" w:rsidRDefault="005D5BD1" w:rsidP="005D5BD1">
            <w:pPr>
              <w:pStyle w:val="Numberedlist"/>
              <w:numPr>
                <w:ilvl w:val="0"/>
                <w:numId w:val="26"/>
              </w:numPr>
              <w:ind w:left="425" w:hanging="425"/>
            </w:pPr>
            <w:r w:rsidRPr="005B64FF">
              <w:lastRenderedPageBreak/>
              <w:t xml:space="preserve">Routine coagulation screening </w:t>
            </w:r>
            <w:r>
              <w:t>should not be performed</w:t>
            </w:r>
            <w:r w:rsidRPr="005B64FF">
              <w:t xml:space="preserve"> prior to a procedure, as it does not indicate the bleeding risk nor does a normal screen exclude a bleeding disorder</w:t>
            </w:r>
            <w:r w:rsidR="0006340B">
              <w:t>.</w:t>
            </w:r>
            <w:r>
              <w:t>*</w:t>
            </w:r>
          </w:p>
          <w:p w14:paraId="5913A0E7" w14:textId="4B848134" w:rsidR="005D5BD1" w:rsidRDefault="005D5BD1" w:rsidP="005D5BD1">
            <w:pPr>
              <w:pStyle w:val="Numberedlist"/>
              <w:numPr>
                <w:ilvl w:val="0"/>
                <w:numId w:val="26"/>
              </w:numPr>
              <w:ind w:left="425" w:hanging="425"/>
            </w:pPr>
            <w:r>
              <w:t>T</w:t>
            </w:r>
            <w:r w:rsidRPr="005B64FF">
              <w:t xml:space="preserve">he routine use of global haemostatic or platelet function testing to assess bleeding risk </w:t>
            </w:r>
            <w:r>
              <w:t xml:space="preserve">should not be </w:t>
            </w:r>
            <w:r w:rsidRPr="00BF5162">
              <w:t xml:space="preserve">performed </w:t>
            </w:r>
            <w:r w:rsidRPr="005B64FF">
              <w:t>prior to a procedure</w:t>
            </w:r>
            <w:r w:rsidR="0006340B">
              <w:t>.</w:t>
            </w:r>
            <w:r>
              <w:t>*</w:t>
            </w:r>
          </w:p>
          <w:p w14:paraId="6110B5CD" w14:textId="033A30D7" w:rsidR="005D5BD1" w:rsidRDefault="005D5BD1" w:rsidP="005D5BD1">
            <w:pPr>
              <w:pStyle w:val="Numberedlist"/>
              <w:numPr>
                <w:ilvl w:val="0"/>
                <w:numId w:val="26"/>
              </w:numPr>
              <w:ind w:left="425" w:hanging="425"/>
            </w:pPr>
            <w:r w:rsidRPr="005B64FF">
              <w:t>Prior to elective procedures associated with a risk of bleeding, a structured bleeding history including the personal and family history of spontaneous or procedure-related bleeding (e.g. HEMSTOP)</w:t>
            </w:r>
            <w:r>
              <w:t xml:space="preserve"> should be considered</w:t>
            </w:r>
            <w:r w:rsidR="0006340B">
              <w:t>.</w:t>
            </w:r>
          </w:p>
          <w:p w14:paraId="591B6B4A" w14:textId="2BF76C6B" w:rsidR="005D5BD1" w:rsidRDefault="005D5BD1" w:rsidP="005D5BD1">
            <w:pPr>
              <w:pStyle w:val="Numberedlist"/>
              <w:numPr>
                <w:ilvl w:val="0"/>
                <w:numId w:val="26"/>
              </w:numPr>
              <w:ind w:left="425" w:hanging="425"/>
            </w:pPr>
            <w:r w:rsidRPr="005B64FF">
              <w:t xml:space="preserve">If the bleeding history is positive, referral to a haematologist </w:t>
            </w:r>
            <w:r>
              <w:t xml:space="preserve">should be considered </w:t>
            </w:r>
            <w:r w:rsidRPr="005B64FF">
              <w:t>for further advice</w:t>
            </w:r>
            <w:r w:rsidR="0006340B">
              <w:t>.</w:t>
            </w:r>
          </w:p>
          <w:p w14:paraId="0BEFCC5B" w14:textId="7CC62EB3" w:rsidR="005D5BD1" w:rsidRDefault="005D5BD1" w:rsidP="005D5BD1">
            <w:pPr>
              <w:pStyle w:val="Numberedlist"/>
              <w:numPr>
                <w:ilvl w:val="0"/>
                <w:numId w:val="26"/>
              </w:numPr>
              <w:ind w:left="425" w:hanging="425"/>
            </w:pPr>
            <w:r w:rsidRPr="005B64FF">
              <w:t xml:space="preserve">In patients taking antiplatelet agents and/or anticoagulants who also require a procedure, it is recommended that the balance of risks between bleeding and thromboembolism </w:t>
            </w:r>
            <w:r>
              <w:t>should be</w:t>
            </w:r>
            <w:r w:rsidRPr="005B64FF">
              <w:t xml:space="preserve"> discussed</w:t>
            </w:r>
            <w:r>
              <w:t xml:space="preserve"> </w:t>
            </w:r>
            <w:r w:rsidRPr="005B64FF">
              <w:t>during patient consent</w:t>
            </w:r>
            <w:r w:rsidR="0006340B">
              <w:t>.</w:t>
            </w:r>
          </w:p>
          <w:p w14:paraId="097F63B4" w14:textId="6A70482C" w:rsidR="005D5BD1" w:rsidRDefault="005D5BD1" w:rsidP="005D5BD1">
            <w:pPr>
              <w:pStyle w:val="Numberedlist"/>
              <w:numPr>
                <w:ilvl w:val="0"/>
                <w:numId w:val="26"/>
              </w:numPr>
              <w:ind w:left="425" w:hanging="425"/>
            </w:pPr>
            <w:r>
              <w:t>Patients having interruption of antiplatelets or anticoagulants should do so for the recommended duration before procedures with a risk of bleeding</w:t>
            </w:r>
            <w:r w:rsidR="0006340B">
              <w:t>.</w:t>
            </w:r>
          </w:p>
          <w:p w14:paraId="77209D0B" w14:textId="4EDA677F" w:rsidR="005D5BD1" w:rsidRDefault="005D5BD1" w:rsidP="005D5BD1">
            <w:pPr>
              <w:pStyle w:val="Numberedlist"/>
              <w:numPr>
                <w:ilvl w:val="0"/>
                <w:numId w:val="26"/>
              </w:numPr>
              <w:ind w:left="425" w:hanging="425"/>
            </w:pPr>
            <w:r>
              <w:t>A</w:t>
            </w:r>
            <w:r w:rsidRPr="005B64FF">
              <w:t xml:space="preserve"> decision about continuation or cessation of dual antiplatelet therapy (DAPT), prasugrel or ticagrelor medications prior to invasive procedures should be discussed with the patient's relevant specialist for the indication prior to a procedure</w:t>
            </w:r>
            <w:r w:rsidR="00BA07B5">
              <w:t>.</w:t>
            </w:r>
          </w:p>
          <w:p w14:paraId="3935B917" w14:textId="708DB64C" w:rsidR="005D5BD1" w:rsidRDefault="005D5BD1" w:rsidP="005D5BD1">
            <w:pPr>
              <w:pStyle w:val="Numberedlist"/>
              <w:numPr>
                <w:ilvl w:val="0"/>
                <w:numId w:val="26"/>
              </w:numPr>
              <w:ind w:left="425" w:hanging="425"/>
            </w:pPr>
            <w:r w:rsidRPr="005B64FF">
              <w:t xml:space="preserve">Testing of the platelet count </w:t>
            </w:r>
            <w:r>
              <w:t xml:space="preserve">should not be </w:t>
            </w:r>
            <w:r w:rsidRPr="00BF5162">
              <w:t xml:space="preserve">performed </w:t>
            </w:r>
            <w:r w:rsidRPr="005B64FF">
              <w:t>prior to low-risk procedures (e.g. central line insertion), unless there is a known haematological disorder where platelet count may be &lt;30×10</w:t>
            </w:r>
            <w:r w:rsidRPr="005B64FF">
              <w:rPr>
                <w:vertAlign w:val="superscript"/>
              </w:rPr>
              <w:t>9</w:t>
            </w:r>
            <w:r w:rsidRPr="005B64FF">
              <w:t>/L</w:t>
            </w:r>
            <w:r w:rsidR="00BA07B5">
              <w:t>.</w:t>
            </w:r>
            <w:r>
              <w:t>*</w:t>
            </w:r>
          </w:p>
          <w:p w14:paraId="5D0A7834" w14:textId="07976B30" w:rsidR="005D5BD1" w:rsidRDefault="005D5BD1" w:rsidP="005D5BD1">
            <w:pPr>
              <w:pStyle w:val="Numberedlist"/>
              <w:numPr>
                <w:ilvl w:val="0"/>
                <w:numId w:val="26"/>
              </w:numPr>
              <w:ind w:left="425" w:hanging="425"/>
            </w:pPr>
            <w:r>
              <w:t>R</w:t>
            </w:r>
            <w:r w:rsidRPr="005B64FF">
              <w:t xml:space="preserve">outine testing of prothrombin time (PT)/international normalised ratio (INR), activated partial thromboplastin time (APTT), fibrinogen and platelet count </w:t>
            </w:r>
            <w:r>
              <w:t xml:space="preserve">should not be performed </w:t>
            </w:r>
            <w:r w:rsidRPr="005B64FF">
              <w:t>before low-risk procedures in patients with stable liver disease (e.g. therapeutic or diagnostic paracentesis</w:t>
            </w:r>
            <w:proofErr w:type="gramStart"/>
            <w:r w:rsidRPr="005B64FF">
              <w:t>)</w:t>
            </w:r>
            <w:r w:rsidR="00BA07B5">
              <w:t>.</w:t>
            </w:r>
            <w:r>
              <w:t>*</w:t>
            </w:r>
            <w:proofErr w:type="gramEnd"/>
          </w:p>
          <w:p w14:paraId="75B23C5A" w14:textId="56F7C15D" w:rsidR="005D5BD1" w:rsidRDefault="005D5BD1" w:rsidP="005D5BD1">
            <w:pPr>
              <w:pStyle w:val="Numberedlist"/>
              <w:numPr>
                <w:ilvl w:val="0"/>
                <w:numId w:val="26"/>
              </w:numPr>
              <w:ind w:left="425" w:hanging="425"/>
            </w:pPr>
            <w:r>
              <w:t>A</w:t>
            </w:r>
            <w:r w:rsidRPr="005B64FF">
              <w:t xml:space="preserve"> coagulation screen (PT/INR, APTT and fibrinogen)</w:t>
            </w:r>
            <w:r>
              <w:t xml:space="preserve"> should be performed</w:t>
            </w:r>
            <w:r w:rsidRPr="005B64FF">
              <w:t xml:space="preserve"> in patients undergoing a procedure with a high risk of bleeding and liver disease, malnutrition, prolonged antibiotic use </w:t>
            </w:r>
            <w:r w:rsidRPr="005B64FF">
              <w:lastRenderedPageBreak/>
              <w:t>and in patients with a risk of coagulopathy (e.g. sepsis/critical care patients)</w:t>
            </w:r>
            <w:r w:rsidR="00BA07B5">
              <w:t>.</w:t>
            </w:r>
          </w:p>
          <w:p w14:paraId="51C24440" w14:textId="1235178D" w:rsidR="005D5BD1" w:rsidRDefault="005D5BD1" w:rsidP="005D5BD1">
            <w:pPr>
              <w:pStyle w:val="Numberedlist"/>
              <w:numPr>
                <w:ilvl w:val="0"/>
                <w:numId w:val="26"/>
              </w:numPr>
              <w:ind w:left="425" w:hanging="425"/>
            </w:pPr>
            <w:r>
              <w:t>A</w:t>
            </w:r>
            <w:r w:rsidRPr="005B64FF">
              <w:t xml:space="preserve"> </w:t>
            </w:r>
            <w:proofErr w:type="spellStart"/>
            <w:r w:rsidRPr="005B64FF">
              <w:t>preprocedure</w:t>
            </w:r>
            <w:proofErr w:type="spellEnd"/>
            <w:r w:rsidRPr="005B64FF">
              <w:t xml:space="preserve"> INR on patients </w:t>
            </w:r>
            <w:r>
              <w:t>taking</w:t>
            </w:r>
            <w:r w:rsidRPr="005B64FF">
              <w:t xml:space="preserve"> a vitamin K antagonist (VKA)</w:t>
            </w:r>
            <w:r>
              <w:t xml:space="preserve"> should be performed</w:t>
            </w:r>
            <w:r w:rsidR="00BA07B5">
              <w:t>.</w:t>
            </w:r>
          </w:p>
          <w:p w14:paraId="24C13952" w14:textId="05BC3A47" w:rsidR="005D5BD1" w:rsidRDefault="005D5BD1" w:rsidP="005D5BD1">
            <w:pPr>
              <w:pStyle w:val="Numberedlist"/>
              <w:numPr>
                <w:ilvl w:val="0"/>
                <w:numId w:val="26"/>
              </w:numPr>
              <w:ind w:left="425" w:hanging="425"/>
            </w:pPr>
            <w:r>
              <w:t>V</w:t>
            </w:r>
            <w:r w:rsidRPr="005B64FF">
              <w:t>itamin K replacement in patients with an increased INR, secondary to vitamin K deficiency, for example, cholestatic liver disease, malnutrition or prolonged antibiotic use</w:t>
            </w:r>
            <w:r>
              <w:t>, should be considered</w:t>
            </w:r>
            <w:r w:rsidR="00BA07B5">
              <w:t>.</w:t>
            </w:r>
          </w:p>
          <w:p w14:paraId="23C0D21D" w14:textId="143CDD05" w:rsidR="005D5BD1" w:rsidRDefault="005D5BD1" w:rsidP="005D5BD1">
            <w:pPr>
              <w:pStyle w:val="Numberedlist"/>
              <w:numPr>
                <w:ilvl w:val="0"/>
                <w:numId w:val="26"/>
              </w:numPr>
              <w:ind w:left="425" w:hanging="425"/>
            </w:pPr>
            <w:proofErr w:type="spellStart"/>
            <w:r w:rsidRPr="005B64FF">
              <w:t>Preprocedure</w:t>
            </w:r>
            <w:proofErr w:type="spellEnd"/>
            <w:r w:rsidRPr="005B64FF">
              <w:t xml:space="preserve"> vitamin K replacement </w:t>
            </w:r>
            <w:r>
              <w:t xml:space="preserve">should not be performed </w:t>
            </w:r>
            <w:r w:rsidRPr="005B64FF">
              <w:t>in individuals with cirrhosis without risk factors for vitamin K deficiency</w:t>
            </w:r>
            <w:r w:rsidR="00BA07B5">
              <w:t>.</w:t>
            </w:r>
            <w:r>
              <w:t xml:space="preserve">* </w:t>
            </w:r>
          </w:p>
          <w:p w14:paraId="3749556A" w14:textId="48415D12" w:rsidR="005D5BD1" w:rsidRDefault="005D5BD1" w:rsidP="005D5BD1">
            <w:pPr>
              <w:pStyle w:val="Numberedlist"/>
              <w:numPr>
                <w:ilvl w:val="0"/>
                <w:numId w:val="26"/>
              </w:numPr>
              <w:ind w:left="425" w:hanging="425"/>
            </w:pPr>
            <w:r w:rsidRPr="005B64FF">
              <w:t xml:space="preserve">Routine use of fresh frozen plasma (FFP) or other replacement therapies to correct abnormal coagulation results </w:t>
            </w:r>
            <w:r>
              <w:t>should not be carried out</w:t>
            </w:r>
            <w:r w:rsidRPr="005B64FF">
              <w:t xml:space="preserve"> in patients undergoing a procedure</w:t>
            </w:r>
            <w:r w:rsidR="00BA07B5">
              <w:t>.</w:t>
            </w:r>
            <w:r>
              <w:t>*</w:t>
            </w:r>
          </w:p>
          <w:p w14:paraId="135E83CD" w14:textId="6337C2E2" w:rsidR="005D5BD1" w:rsidRDefault="005D5BD1" w:rsidP="005D5BD1">
            <w:pPr>
              <w:pStyle w:val="Numberedlist"/>
              <w:numPr>
                <w:ilvl w:val="0"/>
                <w:numId w:val="26"/>
              </w:numPr>
              <w:ind w:left="425" w:hanging="425"/>
            </w:pPr>
            <w:r>
              <w:t>P</w:t>
            </w:r>
            <w:r w:rsidRPr="005B64FF">
              <w:t>reprocedural testing of fibrinogen in non-critically ill patients</w:t>
            </w:r>
            <w:r>
              <w:t xml:space="preserve"> should not be performed</w:t>
            </w:r>
            <w:r w:rsidR="00BA07B5">
              <w:t>.</w:t>
            </w:r>
            <w:r>
              <w:t>*</w:t>
            </w:r>
          </w:p>
          <w:p w14:paraId="2BF2FD1B" w14:textId="79C1FE13" w:rsidR="005D5BD1" w:rsidRDefault="005D5BD1" w:rsidP="005D5BD1">
            <w:pPr>
              <w:pStyle w:val="Numberedlist"/>
              <w:numPr>
                <w:ilvl w:val="0"/>
                <w:numId w:val="26"/>
              </w:numPr>
              <w:ind w:left="425" w:hanging="425"/>
            </w:pPr>
            <w:r>
              <w:t>A</w:t>
            </w:r>
            <w:r w:rsidRPr="005B64FF">
              <w:t xml:space="preserve"> preprocedural fibrinogen level &gt;1.0 g/L </w:t>
            </w:r>
            <w:r w:rsidRPr="00BF5162">
              <w:t xml:space="preserve">should be aimed for </w:t>
            </w:r>
            <w:r w:rsidRPr="005B64FF">
              <w:t>in critically ill patients undergoing a high-risk procedure</w:t>
            </w:r>
            <w:r w:rsidR="00BA07B5">
              <w:t>.</w:t>
            </w:r>
          </w:p>
          <w:p w14:paraId="23E4C00A" w14:textId="7A48DA59" w:rsidR="005D5BD1" w:rsidRDefault="005D5BD1" w:rsidP="005D5BD1">
            <w:pPr>
              <w:pStyle w:val="Numberedlist"/>
              <w:numPr>
                <w:ilvl w:val="0"/>
                <w:numId w:val="26"/>
              </w:numPr>
              <w:ind w:left="425" w:hanging="425"/>
            </w:pPr>
            <w:r w:rsidRPr="005B64FF">
              <w:t xml:space="preserve">A platelet transfusion </w:t>
            </w:r>
            <w:r>
              <w:t>should</w:t>
            </w:r>
            <w:r w:rsidRPr="005B64FF">
              <w:t xml:space="preserve"> be considered in patients with a platelet count &lt;30×10</w:t>
            </w:r>
            <w:r w:rsidRPr="005B64FF">
              <w:rPr>
                <w:vertAlign w:val="superscript"/>
              </w:rPr>
              <w:t>9</w:t>
            </w:r>
            <w:r w:rsidRPr="005B64FF">
              <w:t>/L requiring a tunnelled central venous catheter</w:t>
            </w:r>
            <w:r w:rsidR="00BA07B5">
              <w:t>.</w:t>
            </w:r>
          </w:p>
          <w:p w14:paraId="44E2E830" w14:textId="168A53C2" w:rsidR="005D5BD1" w:rsidRPr="009349D7" w:rsidRDefault="005D5BD1" w:rsidP="005D5BD1">
            <w:pPr>
              <w:pStyle w:val="ListParagraph"/>
              <w:numPr>
                <w:ilvl w:val="0"/>
                <w:numId w:val="26"/>
              </w:numPr>
              <w:ind w:left="425" w:hanging="425"/>
            </w:pPr>
            <w:r w:rsidRPr="005B64FF">
              <w:t xml:space="preserve">Thrombopoietin receptor agonists (TPO-RAs) </w:t>
            </w:r>
            <w:r>
              <w:t>should</w:t>
            </w:r>
            <w:r w:rsidRPr="005B64FF">
              <w:t xml:space="preserve"> be considered for high</w:t>
            </w:r>
            <w:r>
              <w:noBreakHyphen/>
            </w:r>
            <w:r w:rsidRPr="005B64FF">
              <w:t>risk procedures in patients with liver disease, if the platelet count is &lt;50×10</w:t>
            </w:r>
            <w:r w:rsidRPr="005D5BD1">
              <w:rPr>
                <w:vertAlign w:val="superscript"/>
              </w:rPr>
              <w:t>9</w:t>
            </w:r>
            <w:r w:rsidRPr="005B64FF">
              <w:t>/L</w:t>
            </w:r>
            <w:r w:rsidR="00BA07B5">
              <w:t>.</w:t>
            </w:r>
          </w:p>
        </w:tc>
      </w:tr>
      <w:tr w:rsidR="005D5BD1" w:rsidRPr="00077B16" w14:paraId="14094681" w14:textId="77777777" w:rsidTr="005D5BD1">
        <w:trPr>
          <w:cantSplit/>
          <w:trHeight w:val="469"/>
        </w:trPr>
        <w:tc>
          <w:tcPr>
            <w:tcW w:w="1737" w:type="dxa"/>
          </w:tcPr>
          <w:p w14:paraId="1E4F1E05" w14:textId="77777777" w:rsidR="005D5BD1" w:rsidRPr="009349D7" w:rsidRDefault="005D5BD1" w:rsidP="005D5BD1">
            <w:pPr>
              <w:pStyle w:val="Rowheading"/>
            </w:pPr>
            <w:r w:rsidRPr="009349D7">
              <w:lastRenderedPageBreak/>
              <w:t>Method</w:t>
            </w:r>
          </w:p>
          <w:p w14:paraId="5C3F63EE" w14:textId="77777777" w:rsidR="005D5BD1" w:rsidRPr="009349D7" w:rsidRDefault="005D5BD1" w:rsidP="005D5BD1">
            <w:pPr>
              <w:rPr>
                <w:rFonts w:cs="Arial"/>
                <w:b/>
                <w:szCs w:val="24"/>
              </w:rPr>
            </w:pPr>
          </w:p>
        </w:tc>
        <w:tc>
          <w:tcPr>
            <w:tcW w:w="7891" w:type="dxa"/>
          </w:tcPr>
          <w:p w14:paraId="06E9918F" w14:textId="296C3C83" w:rsidR="005D5BD1" w:rsidRPr="009349D7" w:rsidRDefault="005D5BD1" w:rsidP="005D5BD1">
            <w:pPr>
              <w:rPr>
                <w:b/>
              </w:rPr>
            </w:pPr>
            <w:r w:rsidRPr="009349D7">
              <w:rPr>
                <w:b/>
              </w:rPr>
              <w:t xml:space="preserve">Sample selection: </w:t>
            </w:r>
          </w:p>
          <w:p w14:paraId="5702EE92" w14:textId="223D1152" w:rsidR="005D5BD1" w:rsidRPr="00010C26" w:rsidRDefault="005D5BD1" w:rsidP="005D5BD1">
            <w:pPr>
              <w:numPr>
                <w:ilvl w:val="0"/>
                <w:numId w:val="32"/>
              </w:numPr>
              <w:tabs>
                <w:tab w:val="left" w:pos="352"/>
              </w:tabs>
              <w:rPr>
                <w:rFonts w:cs="Arial"/>
                <w:bCs/>
              </w:rPr>
            </w:pPr>
            <w:r w:rsidRPr="00010C26">
              <w:rPr>
                <w:rFonts w:cs="Arial"/>
                <w:bCs/>
              </w:rPr>
              <w:t xml:space="preserve">All patients suspected/at risk of </w:t>
            </w:r>
            <w:r>
              <w:rPr>
                <w:rFonts w:cs="Arial"/>
                <w:bCs/>
              </w:rPr>
              <w:t xml:space="preserve">bleeding during an invasive procedure </w:t>
            </w:r>
            <w:r w:rsidRPr="00010C26">
              <w:rPr>
                <w:rFonts w:cs="Arial"/>
                <w:bCs/>
              </w:rPr>
              <w:t>in the preceding 12 months</w:t>
            </w:r>
            <w:r w:rsidR="00BA07B5">
              <w:rPr>
                <w:rFonts w:cs="Arial"/>
                <w:bCs/>
              </w:rPr>
              <w:t>.</w:t>
            </w:r>
          </w:p>
          <w:p w14:paraId="2E47D027" w14:textId="50EB6478" w:rsidR="005D5BD1" w:rsidRPr="009349D7" w:rsidRDefault="005D5BD1" w:rsidP="005D5BD1">
            <w:pPr>
              <w:rPr>
                <w:b/>
                <w:color w:val="000000"/>
              </w:rPr>
            </w:pPr>
            <w:r w:rsidRPr="009349D7">
              <w:rPr>
                <w:b/>
                <w:color w:val="000000"/>
              </w:rPr>
              <w:t>Data to be collected on proforma (see below).</w:t>
            </w:r>
          </w:p>
        </w:tc>
      </w:tr>
      <w:tr w:rsidR="005D5BD1" w:rsidRPr="00077B16" w14:paraId="4EF29E2B" w14:textId="77777777" w:rsidTr="005D5BD1">
        <w:trPr>
          <w:trHeight w:val="469"/>
        </w:trPr>
        <w:tc>
          <w:tcPr>
            <w:tcW w:w="1737" w:type="dxa"/>
          </w:tcPr>
          <w:p w14:paraId="42E290A4" w14:textId="77777777" w:rsidR="005D5BD1" w:rsidRPr="009349D7" w:rsidRDefault="005D5BD1" w:rsidP="005D5BD1">
            <w:pPr>
              <w:pStyle w:val="Rowheading"/>
            </w:pPr>
            <w:r w:rsidRPr="009349D7">
              <w:t>Results</w:t>
            </w:r>
          </w:p>
        </w:tc>
        <w:tc>
          <w:tcPr>
            <w:tcW w:w="7891" w:type="dxa"/>
          </w:tcPr>
          <w:p w14:paraId="08D3ABE3" w14:textId="77777777" w:rsidR="005D5BD1" w:rsidRPr="009349D7" w:rsidRDefault="005D5BD1" w:rsidP="005D5BD1">
            <w:pPr>
              <w:pStyle w:val="Bodytextredfont"/>
            </w:pPr>
            <w:r w:rsidRPr="009349D7">
              <w:t xml:space="preserve">(To be </w:t>
            </w:r>
            <w:r w:rsidRPr="0029610F">
              <w:t>completed</w:t>
            </w:r>
            <w:r w:rsidRPr="009349D7">
              <w:t xml:space="preserve"> by the author)</w:t>
            </w:r>
          </w:p>
          <w:p w14:paraId="3B75E1CE" w14:textId="3413C1F3" w:rsidR="005D5BD1" w:rsidRPr="009349D7" w:rsidRDefault="005D5BD1" w:rsidP="005D5BD1">
            <w:r w:rsidRPr="009349D7">
              <w:t>The results of this audit show the following compliance with the standards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091"/>
              <w:gridCol w:w="1363"/>
              <w:gridCol w:w="1565"/>
            </w:tblGrid>
            <w:tr w:rsidR="005D5BD1" w:rsidRPr="00CB0B17" w14:paraId="0E190C00" w14:textId="77777777" w:rsidTr="003F2BB6">
              <w:trPr>
                <w:tblHeader/>
              </w:trPr>
              <w:tc>
                <w:tcPr>
                  <w:tcW w:w="2378" w:type="pct"/>
                  <w:shd w:val="clear" w:color="auto" w:fill="auto"/>
                </w:tcPr>
                <w:p w14:paraId="7C970C69" w14:textId="77777777" w:rsidR="005D5BD1" w:rsidRPr="009F4BE7" w:rsidRDefault="005D5BD1" w:rsidP="005D5BD1">
                  <w:pPr>
                    <w:pStyle w:val="Tablecolumnheading"/>
                  </w:pPr>
                  <w:r w:rsidRPr="009F4BE7">
                    <w:lastRenderedPageBreak/>
                    <w:t>Investigation</w:t>
                  </w:r>
                </w:p>
              </w:tc>
              <w:tc>
                <w:tcPr>
                  <w:tcW w:w="712" w:type="pct"/>
                  <w:shd w:val="clear" w:color="auto" w:fill="auto"/>
                </w:tcPr>
                <w:p w14:paraId="49C40025" w14:textId="77777777" w:rsidR="005D5BD1" w:rsidRPr="009F4BE7" w:rsidRDefault="005D5BD1" w:rsidP="005D5BD1">
                  <w:pPr>
                    <w:pStyle w:val="Tablecolumnheading"/>
                  </w:pPr>
                  <w:r w:rsidRPr="009F4BE7">
                    <w:t>No. audited</w:t>
                  </w:r>
                </w:p>
              </w:tc>
              <w:tc>
                <w:tcPr>
                  <w:tcW w:w="889" w:type="pct"/>
                </w:tcPr>
                <w:p w14:paraId="7F4669C6" w14:textId="77777777" w:rsidR="005D5BD1" w:rsidRPr="009F4BE7" w:rsidRDefault="005D5BD1" w:rsidP="005D5BD1">
                  <w:pPr>
                    <w:pStyle w:val="Tablecolumnheading"/>
                  </w:pPr>
                  <w:r w:rsidRPr="009F4BE7">
                    <w:t>No compliant</w:t>
                  </w:r>
                </w:p>
              </w:tc>
              <w:tc>
                <w:tcPr>
                  <w:tcW w:w="1021" w:type="pct"/>
                </w:tcPr>
                <w:p w14:paraId="4B54C511" w14:textId="77777777" w:rsidR="005D5BD1" w:rsidRPr="009F4BE7" w:rsidRDefault="005D5BD1" w:rsidP="005D5BD1">
                  <w:pPr>
                    <w:pStyle w:val="Tablecolumnheading"/>
                  </w:pPr>
                  <w:r w:rsidRPr="009F4BE7">
                    <w:t>% compliance</w:t>
                  </w:r>
                </w:p>
              </w:tc>
            </w:tr>
            <w:tr w:rsidR="005D5BD1" w:rsidRPr="00CB0B17" w14:paraId="52CC4466" w14:textId="77777777" w:rsidTr="003F2BB6">
              <w:tc>
                <w:tcPr>
                  <w:tcW w:w="5000" w:type="pct"/>
                  <w:gridSpan w:val="4"/>
                  <w:shd w:val="clear" w:color="auto" w:fill="BFBFBF"/>
                </w:tcPr>
                <w:p w14:paraId="71EE01E9" w14:textId="77777777" w:rsidR="005D5BD1" w:rsidRPr="00CB0B17" w:rsidRDefault="005D5BD1" w:rsidP="005D5BD1">
                  <w:pPr>
                    <w:rPr>
                      <w:rFonts w:cs="Arial"/>
                      <w:b/>
                      <w:bCs/>
                    </w:rPr>
                  </w:pPr>
                  <w:r>
                    <w:rPr>
                      <w:rFonts w:cs="Arial"/>
                      <w:b/>
                      <w:bCs/>
                    </w:rPr>
                    <w:t>Recommendations</w:t>
                  </w:r>
                </w:p>
              </w:tc>
            </w:tr>
            <w:tr w:rsidR="005D5BD1" w:rsidRPr="00CB0B17" w14:paraId="7DB5E2AE" w14:textId="77777777" w:rsidTr="003F2BB6">
              <w:tc>
                <w:tcPr>
                  <w:tcW w:w="2378" w:type="pct"/>
                  <w:shd w:val="clear" w:color="auto" w:fill="auto"/>
                </w:tcPr>
                <w:p w14:paraId="0168E788" w14:textId="1BCE385B" w:rsidR="005D5BD1" w:rsidRPr="00C37654" w:rsidRDefault="005D5BD1" w:rsidP="00406097">
                  <w:pPr>
                    <w:rPr>
                      <w:rFonts w:cs="Arial"/>
                      <w:color w:val="000000"/>
                    </w:rPr>
                  </w:pPr>
                  <w:r w:rsidRPr="00C37654">
                    <w:rPr>
                      <w:rFonts w:cs="Arial"/>
                      <w:color w:val="000000"/>
                    </w:rPr>
                    <w:t xml:space="preserve">Routine coagulation screening </w:t>
                  </w:r>
                  <w:r>
                    <w:rPr>
                      <w:rFonts w:cs="Arial"/>
                      <w:color w:val="000000"/>
                    </w:rPr>
                    <w:t xml:space="preserve">was </w:t>
                  </w:r>
                  <w:r w:rsidRPr="00C37654">
                    <w:rPr>
                      <w:rFonts w:cs="Arial"/>
                      <w:color w:val="000000"/>
                    </w:rPr>
                    <w:t>performed prior to a procedure</w:t>
                  </w:r>
                  <w:r>
                    <w:rPr>
                      <w:rFonts w:cs="Arial"/>
                      <w:color w:val="000000"/>
                    </w:rPr>
                    <w:t xml:space="preserve"> (</w:t>
                  </w:r>
                  <w:r w:rsidR="00BA07B5">
                    <w:rPr>
                      <w:rFonts w:cs="Arial"/>
                      <w:color w:val="000000"/>
                    </w:rPr>
                    <w:t xml:space="preserve">target </w:t>
                  </w:r>
                  <w:r>
                    <w:rPr>
                      <w:rFonts w:cs="Arial"/>
                      <w:color w:val="000000"/>
                    </w:rPr>
                    <w:t>% compliance: 0%)</w:t>
                  </w:r>
                </w:p>
              </w:tc>
              <w:tc>
                <w:tcPr>
                  <w:tcW w:w="712" w:type="pct"/>
                  <w:shd w:val="clear" w:color="auto" w:fill="auto"/>
                </w:tcPr>
                <w:p w14:paraId="30870427" w14:textId="77777777" w:rsidR="005D5BD1" w:rsidRPr="00CB0B17" w:rsidRDefault="005D5BD1" w:rsidP="005D5BD1">
                  <w:pPr>
                    <w:rPr>
                      <w:rFonts w:cs="Arial"/>
                    </w:rPr>
                  </w:pPr>
                </w:p>
              </w:tc>
              <w:tc>
                <w:tcPr>
                  <w:tcW w:w="889" w:type="pct"/>
                </w:tcPr>
                <w:p w14:paraId="46B72B67" w14:textId="77777777" w:rsidR="005D5BD1" w:rsidRPr="00CB0B17" w:rsidRDefault="005D5BD1" w:rsidP="005D5BD1">
                  <w:pPr>
                    <w:rPr>
                      <w:rFonts w:cs="Arial"/>
                    </w:rPr>
                  </w:pPr>
                </w:p>
              </w:tc>
              <w:tc>
                <w:tcPr>
                  <w:tcW w:w="1021" w:type="pct"/>
                </w:tcPr>
                <w:p w14:paraId="7C08EE96" w14:textId="77777777" w:rsidR="005D5BD1" w:rsidRPr="00CB0B17" w:rsidRDefault="005D5BD1" w:rsidP="005D5BD1">
                  <w:pPr>
                    <w:rPr>
                      <w:rFonts w:cs="Arial"/>
                    </w:rPr>
                  </w:pPr>
                </w:p>
              </w:tc>
            </w:tr>
            <w:tr w:rsidR="005D5BD1" w:rsidRPr="00CB0B17" w14:paraId="4723F27E" w14:textId="77777777" w:rsidTr="003F2BB6">
              <w:tc>
                <w:tcPr>
                  <w:tcW w:w="2378" w:type="pct"/>
                  <w:shd w:val="clear" w:color="auto" w:fill="auto"/>
                </w:tcPr>
                <w:p w14:paraId="45C62685" w14:textId="5154AC10" w:rsidR="005D5BD1" w:rsidRPr="00C37654" w:rsidRDefault="005D5BD1" w:rsidP="00406097">
                  <w:pPr>
                    <w:rPr>
                      <w:rFonts w:cs="Arial"/>
                      <w:color w:val="000000"/>
                    </w:rPr>
                  </w:pPr>
                  <w:r w:rsidRPr="00C37654">
                    <w:rPr>
                      <w:rFonts w:cs="Arial"/>
                      <w:color w:val="000000"/>
                    </w:rPr>
                    <w:t xml:space="preserve">The routine use of global haemostatic or platelet function testing to assess bleeding risk </w:t>
                  </w:r>
                  <w:r>
                    <w:rPr>
                      <w:rFonts w:cs="Arial"/>
                      <w:color w:val="000000"/>
                    </w:rPr>
                    <w:t xml:space="preserve">was </w:t>
                  </w:r>
                  <w:r w:rsidRPr="00C37654">
                    <w:rPr>
                      <w:rFonts w:cs="Arial"/>
                      <w:color w:val="000000"/>
                    </w:rPr>
                    <w:t>performed prior to a procedure</w:t>
                  </w:r>
                  <w:r>
                    <w:rPr>
                      <w:rFonts w:cs="Arial"/>
                      <w:color w:val="000000"/>
                    </w:rPr>
                    <w:t xml:space="preserve"> </w:t>
                  </w:r>
                  <w:r w:rsidRPr="001642A4">
                    <w:rPr>
                      <w:rFonts w:cs="Arial"/>
                      <w:color w:val="000000"/>
                    </w:rPr>
                    <w:t>(</w:t>
                  </w:r>
                  <w:r w:rsidR="00BA07B5">
                    <w:rPr>
                      <w:rFonts w:cs="Arial"/>
                      <w:color w:val="000000"/>
                    </w:rPr>
                    <w:t>t</w:t>
                  </w:r>
                  <w:r w:rsidRPr="001642A4">
                    <w:rPr>
                      <w:rFonts w:cs="Arial"/>
                      <w:color w:val="000000"/>
                    </w:rPr>
                    <w:t>arget % compliance: 0%)</w:t>
                  </w:r>
                </w:p>
              </w:tc>
              <w:tc>
                <w:tcPr>
                  <w:tcW w:w="712" w:type="pct"/>
                  <w:shd w:val="clear" w:color="auto" w:fill="auto"/>
                </w:tcPr>
                <w:p w14:paraId="5DC09927" w14:textId="77777777" w:rsidR="005D5BD1" w:rsidRPr="00CB0B17" w:rsidRDefault="005D5BD1" w:rsidP="005D5BD1">
                  <w:pPr>
                    <w:rPr>
                      <w:rFonts w:cs="Arial"/>
                    </w:rPr>
                  </w:pPr>
                </w:p>
              </w:tc>
              <w:tc>
                <w:tcPr>
                  <w:tcW w:w="889" w:type="pct"/>
                </w:tcPr>
                <w:p w14:paraId="40C04908" w14:textId="77777777" w:rsidR="005D5BD1" w:rsidRPr="00CB0B17" w:rsidRDefault="005D5BD1" w:rsidP="005D5BD1">
                  <w:pPr>
                    <w:rPr>
                      <w:rFonts w:cs="Arial"/>
                    </w:rPr>
                  </w:pPr>
                </w:p>
              </w:tc>
              <w:tc>
                <w:tcPr>
                  <w:tcW w:w="1021" w:type="pct"/>
                </w:tcPr>
                <w:p w14:paraId="2BBE85E8" w14:textId="77777777" w:rsidR="005D5BD1" w:rsidRPr="00CB0B17" w:rsidRDefault="005D5BD1" w:rsidP="005D5BD1">
                  <w:pPr>
                    <w:rPr>
                      <w:rFonts w:cs="Arial"/>
                    </w:rPr>
                  </w:pPr>
                </w:p>
              </w:tc>
            </w:tr>
            <w:tr w:rsidR="005D5BD1" w:rsidRPr="00CB0B17" w14:paraId="3D46DB7F" w14:textId="77777777" w:rsidTr="003F2BB6">
              <w:tc>
                <w:tcPr>
                  <w:tcW w:w="2378" w:type="pct"/>
                  <w:shd w:val="clear" w:color="auto" w:fill="auto"/>
                </w:tcPr>
                <w:p w14:paraId="491AA41D" w14:textId="77777777" w:rsidR="005D5BD1" w:rsidRPr="00C37654" w:rsidRDefault="005D5BD1" w:rsidP="00406097">
                  <w:pPr>
                    <w:keepNext/>
                    <w:rPr>
                      <w:rFonts w:cs="Arial"/>
                      <w:color w:val="000000"/>
                    </w:rPr>
                  </w:pPr>
                  <w:r w:rsidRPr="00C37654">
                    <w:rPr>
                      <w:rFonts w:cs="Arial"/>
                      <w:color w:val="000000"/>
                    </w:rPr>
                    <w:t xml:space="preserve">HEMSTOP </w:t>
                  </w:r>
                  <w:r>
                    <w:rPr>
                      <w:rFonts w:cs="Arial"/>
                      <w:color w:val="000000"/>
                    </w:rPr>
                    <w:t>was</w:t>
                  </w:r>
                  <w:r w:rsidRPr="00C37654">
                    <w:rPr>
                      <w:rFonts w:cs="Arial"/>
                      <w:color w:val="000000"/>
                    </w:rPr>
                    <w:t xml:space="preserve"> co</w:t>
                  </w:r>
                  <w:r>
                    <w:rPr>
                      <w:rFonts w:cs="Arial"/>
                      <w:color w:val="000000"/>
                    </w:rPr>
                    <w:t>mpleted p</w:t>
                  </w:r>
                  <w:r w:rsidRPr="00C37654">
                    <w:rPr>
                      <w:rFonts w:cs="Arial"/>
                      <w:color w:val="000000"/>
                    </w:rPr>
                    <w:t>rior to elective procedures associated with a risk of bleeding</w:t>
                  </w:r>
                </w:p>
              </w:tc>
              <w:tc>
                <w:tcPr>
                  <w:tcW w:w="712" w:type="pct"/>
                  <w:shd w:val="clear" w:color="auto" w:fill="auto"/>
                </w:tcPr>
                <w:p w14:paraId="1E16CC4C" w14:textId="77777777" w:rsidR="005D5BD1" w:rsidRPr="00CB0B17" w:rsidRDefault="005D5BD1" w:rsidP="005D5BD1">
                  <w:pPr>
                    <w:rPr>
                      <w:rFonts w:cs="Arial"/>
                    </w:rPr>
                  </w:pPr>
                </w:p>
              </w:tc>
              <w:tc>
                <w:tcPr>
                  <w:tcW w:w="889" w:type="pct"/>
                </w:tcPr>
                <w:p w14:paraId="6BA83854" w14:textId="77777777" w:rsidR="005D5BD1" w:rsidRPr="00CB0B17" w:rsidRDefault="005D5BD1" w:rsidP="005D5BD1">
                  <w:pPr>
                    <w:rPr>
                      <w:rFonts w:cs="Arial"/>
                    </w:rPr>
                  </w:pPr>
                </w:p>
              </w:tc>
              <w:tc>
                <w:tcPr>
                  <w:tcW w:w="1021" w:type="pct"/>
                </w:tcPr>
                <w:p w14:paraId="2F85DB9D" w14:textId="77777777" w:rsidR="005D5BD1" w:rsidRPr="00CB0B17" w:rsidRDefault="005D5BD1" w:rsidP="005D5BD1">
                  <w:pPr>
                    <w:rPr>
                      <w:rFonts w:cs="Arial"/>
                    </w:rPr>
                  </w:pPr>
                </w:p>
              </w:tc>
            </w:tr>
            <w:tr w:rsidR="005D5BD1" w:rsidRPr="00CB0B17" w14:paraId="2DC970D4" w14:textId="77777777" w:rsidTr="003F2BB6">
              <w:tc>
                <w:tcPr>
                  <w:tcW w:w="2378" w:type="pct"/>
                  <w:shd w:val="clear" w:color="auto" w:fill="auto"/>
                </w:tcPr>
                <w:p w14:paraId="625F5939" w14:textId="77777777" w:rsidR="005D5BD1" w:rsidRPr="00C37654" w:rsidRDefault="005D5BD1" w:rsidP="00406097">
                  <w:pPr>
                    <w:rPr>
                      <w:rFonts w:cs="Arial"/>
                      <w:color w:val="000000"/>
                    </w:rPr>
                  </w:pPr>
                  <w:r w:rsidRPr="00C37654">
                    <w:rPr>
                      <w:rFonts w:cs="Arial"/>
                      <w:color w:val="000000"/>
                    </w:rPr>
                    <w:t xml:space="preserve">If the bleeding history </w:t>
                  </w:r>
                  <w:r>
                    <w:rPr>
                      <w:rFonts w:cs="Arial"/>
                      <w:color w:val="000000"/>
                    </w:rPr>
                    <w:t>was</w:t>
                  </w:r>
                  <w:r w:rsidRPr="00C37654">
                    <w:rPr>
                      <w:rFonts w:cs="Arial"/>
                      <w:color w:val="000000"/>
                    </w:rPr>
                    <w:t xml:space="preserve"> positive, referral to a haematologist </w:t>
                  </w:r>
                  <w:r>
                    <w:rPr>
                      <w:rFonts w:cs="Arial"/>
                      <w:color w:val="000000"/>
                    </w:rPr>
                    <w:t>was</w:t>
                  </w:r>
                  <w:r w:rsidRPr="00C37654">
                    <w:rPr>
                      <w:rFonts w:cs="Arial"/>
                      <w:color w:val="000000"/>
                    </w:rPr>
                    <w:t xml:space="preserve"> considered for further advice</w:t>
                  </w:r>
                </w:p>
              </w:tc>
              <w:tc>
                <w:tcPr>
                  <w:tcW w:w="712" w:type="pct"/>
                  <w:shd w:val="clear" w:color="auto" w:fill="auto"/>
                </w:tcPr>
                <w:p w14:paraId="7EEEC17C" w14:textId="77777777" w:rsidR="005D5BD1" w:rsidRPr="00CB0B17" w:rsidRDefault="005D5BD1" w:rsidP="005D5BD1">
                  <w:pPr>
                    <w:rPr>
                      <w:rFonts w:cs="Arial"/>
                    </w:rPr>
                  </w:pPr>
                </w:p>
              </w:tc>
              <w:tc>
                <w:tcPr>
                  <w:tcW w:w="889" w:type="pct"/>
                </w:tcPr>
                <w:p w14:paraId="2881B3D3" w14:textId="77777777" w:rsidR="005D5BD1" w:rsidRPr="00CB0B17" w:rsidRDefault="005D5BD1" w:rsidP="005D5BD1">
                  <w:pPr>
                    <w:rPr>
                      <w:rFonts w:cs="Arial"/>
                    </w:rPr>
                  </w:pPr>
                </w:p>
              </w:tc>
              <w:tc>
                <w:tcPr>
                  <w:tcW w:w="1021" w:type="pct"/>
                </w:tcPr>
                <w:p w14:paraId="12DC7036" w14:textId="77777777" w:rsidR="005D5BD1" w:rsidRPr="00CB0B17" w:rsidRDefault="005D5BD1" w:rsidP="005D5BD1">
                  <w:pPr>
                    <w:rPr>
                      <w:rFonts w:cs="Arial"/>
                    </w:rPr>
                  </w:pPr>
                </w:p>
              </w:tc>
            </w:tr>
            <w:tr w:rsidR="005D5BD1" w:rsidRPr="00CB0B17" w14:paraId="3ADEBC31" w14:textId="77777777" w:rsidTr="003F2BB6">
              <w:trPr>
                <w:trHeight w:val="758"/>
              </w:trPr>
              <w:tc>
                <w:tcPr>
                  <w:tcW w:w="2378" w:type="pct"/>
                  <w:shd w:val="clear" w:color="auto" w:fill="auto"/>
                </w:tcPr>
                <w:p w14:paraId="23FA4B1C" w14:textId="77777777" w:rsidR="005D5BD1" w:rsidRPr="00C37654" w:rsidRDefault="005D5BD1" w:rsidP="00406097">
                  <w:pPr>
                    <w:rPr>
                      <w:rFonts w:cs="Arial"/>
                      <w:color w:val="000000"/>
                    </w:rPr>
                  </w:pPr>
                  <w:r w:rsidRPr="00C37654">
                    <w:rPr>
                      <w:rFonts w:cs="Arial"/>
                      <w:color w:val="000000"/>
                    </w:rPr>
                    <w:t>In patients taking antiplatelet agents and/or anticoagulants who require</w:t>
                  </w:r>
                  <w:r>
                    <w:rPr>
                      <w:rFonts w:cs="Arial"/>
                      <w:color w:val="000000"/>
                    </w:rPr>
                    <w:t>d</w:t>
                  </w:r>
                  <w:r w:rsidRPr="00C37654">
                    <w:rPr>
                      <w:rFonts w:cs="Arial"/>
                      <w:color w:val="000000"/>
                    </w:rPr>
                    <w:t xml:space="preserve"> a procedure, the balance of risks between bleeding and thromboembolism </w:t>
                  </w:r>
                  <w:r>
                    <w:rPr>
                      <w:rFonts w:cs="Arial"/>
                      <w:color w:val="000000"/>
                    </w:rPr>
                    <w:t>was</w:t>
                  </w:r>
                  <w:r w:rsidRPr="00C37654">
                    <w:rPr>
                      <w:rFonts w:cs="Arial"/>
                      <w:color w:val="000000"/>
                    </w:rPr>
                    <w:t xml:space="preserve"> discussed</w:t>
                  </w:r>
                  <w:r>
                    <w:rPr>
                      <w:rFonts w:cs="Arial"/>
                      <w:color w:val="000000"/>
                    </w:rPr>
                    <w:t xml:space="preserve"> during patient consent</w:t>
                  </w:r>
                </w:p>
              </w:tc>
              <w:tc>
                <w:tcPr>
                  <w:tcW w:w="712" w:type="pct"/>
                  <w:shd w:val="clear" w:color="auto" w:fill="auto"/>
                </w:tcPr>
                <w:p w14:paraId="54203FB2" w14:textId="77777777" w:rsidR="005D5BD1" w:rsidRPr="00CB0B17" w:rsidRDefault="005D5BD1" w:rsidP="005D5BD1">
                  <w:pPr>
                    <w:rPr>
                      <w:rFonts w:cs="Arial"/>
                    </w:rPr>
                  </w:pPr>
                </w:p>
              </w:tc>
              <w:tc>
                <w:tcPr>
                  <w:tcW w:w="889" w:type="pct"/>
                </w:tcPr>
                <w:p w14:paraId="74387749" w14:textId="77777777" w:rsidR="005D5BD1" w:rsidRPr="00CB0B17" w:rsidRDefault="005D5BD1" w:rsidP="005D5BD1">
                  <w:pPr>
                    <w:rPr>
                      <w:rFonts w:cs="Arial"/>
                    </w:rPr>
                  </w:pPr>
                </w:p>
              </w:tc>
              <w:tc>
                <w:tcPr>
                  <w:tcW w:w="1021" w:type="pct"/>
                </w:tcPr>
                <w:p w14:paraId="354533BD" w14:textId="77777777" w:rsidR="005D5BD1" w:rsidRPr="00CB0B17" w:rsidRDefault="005D5BD1" w:rsidP="005D5BD1">
                  <w:pPr>
                    <w:rPr>
                      <w:rFonts w:cs="Arial"/>
                    </w:rPr>
                  </w:pPr>
                </w:p>
              </w:tc>
            </w:tr>
            <w:tr w:rsidR="005D5BD1" w:rsidRPr="00CB0B17" w14:paraId="38B073A7" w14:textId="77777777" w:rsidTr="003F2BB6">
              <w:trPr>
                <w:trHeight w:val="757"/>
              </w:trPr>
              <w:tc>
                <w:tcPr>
                  <w:tcW w:w="2378" w:type="pct"/>
                  <w:shd w:val="clear" w:color="auto" w:fill="auto"/>
                </w:tcPr>
                <w:p w14:paraId="0DE6782C" w14:textId="77777777" w:rsidR="005D5BD1" w:rsidRPr="00A90B8B" w:rsidRDefault="005D5BD1" w:rsidP="00406097">
                  <w:pPr>
                    <w:rPr>
                      <w:rFonts w:cs="Arial"/>
                      <w:color w:val="000000"/>
                    </w:rPr>
                  </w:pPr>
                  <w:r w:rsidRPr="00A90B8B">
                    <w:rPr>
                      <w:rFonts w:cs="Arial"/>
                      <w:color w:val="000000"/>
                    </w:rPr>
                    <w:t>Patients</w:t>
                  </w:r>
                  <w:r>
                    <w:rPr>
                      <w:rFonts w:cs="Arial"/>
                      <w:color w:val="000000"/>
                    </w:rPr>
                    <w:t xml:space="preserve"> who had</w:t>
                  </w:r>
                  <w:r w:rsidRPr="00A90B8B">
                    <w:rPr>
                      <w:rFonts w:cs="Arial"/>
                      <w:color w:val="000000"/>
                    </w:rPr>
                    <w:t xml:space="preserve"> interruption of antiplatelet</w:t>
                  </w:r>
                  <w:r>
                    <w:rPr>
                      <w:rFonts w:cs="Arial"/>
                      <w:color w:val="000000"/>
                    </w:rPr>
                    <w:t>s</w:t>
                  </w:r>
                  <w:r w:rsidRPr="00A90B8B">
                    <w:rPr>
                      <w:rFonts w:cs="Arial"/>
                      <w:color w:val="000000"/>
                    </w:rPr>
                    <w:t xml:space="preserve"> or anticoagulants d</w:t>
                  </w:r>
                  <w:r>
                    <w:rPr>
                      <w:rFonts w:cs="Arial"/>
                      <w:color w:val="000000"/>
                    </w:rPr>
                    <w:t>id</w:t>
                  </w:r>
                  <w:r w:rsidRPr="00A90B8B">
                    <w:rPr>
                      <w:rFonts w:cs="Arial"/>
                      <w:color w:val="000000"/>
                    </w:rPr>
                    <w:t xml:space="preserve"> so for the recommended duration before procedures with a risk of bleeding </w:t>
                  </w:r>
                </w:p>
              </w:tc>
              <w:tc>
                <w:tcPr>
                  <w:tcW w:w="712" w:type="pct"/>
                  <w:shd w:val="clear" w:color="auto" w:fill="auto"/>
                </w:tcPr>
                <w:p w14:paraId="5D9CF7B0" w14:textId="77777777" w:rsidR="005D5BD1" w:rsidRPr="00CB0B17" w:rsidRDefault="005D5BD1" w:rsidP="005D5BD1">
                  <w:pPr>
                    <w:rPr>
                      <w:rFonts w:cs="Arial"/>
                    </w:rPr>
                  </w:pPr>
                </w:p>
              </w:tc>
              <w:tc>
                <w:tcPr>
                  <w:tcW w:w="889" w:type="pct"/>
                </w:tcPr>
                <w:p w14:paraId="69D7149E" w14:textId="77777777" w:rsidR="005D5BD1" w:rsidRPr="00CB0B17" w:rsidRDefault="005D5BD1" w:rsidP="005D5BD1">
                  <w:pPr>
                    <w:rPr>
                      <w:rFonts w:cs="Arial"/>
                    </w:rPr>
                  </w:pPr>
                </w:p>
              </w:tc>
              <w:tc>
                <w:tcPr>
                  <w:tcW w:w="1021" w:type="pct"/>
                </w:tcPr>
                <w:p w14:paraId="7B3EF0FF" w14:textId="77777777" w:rsidR="005D5BD1" w:rsidRPr="00CB0B17" w:rsidRDefault="005D5BD1" w:rsidP="005D5BD1">
                  <w:pPr>
                    <w:rPr>
                      <w:rFonts w:cs="Arial"/>
                    </w:rPr>
                  </w:pPr>
                </w:p>
              </w:tc>
            </w:tr>
            <w:tr w:rsidR="005D5BD1" w:rsidRPr="00CB0B17" w14:paraId="4AE36DC9" w14:textId="77777777" w:rsidTr="003F2BB6">
              <w:tc>
                <w:tcPr>
                  <w:tcW w:w="2378" w:type="pct"/>
                  <w:shd w:val="clear" w:color="auto" w:fill="auto"/>
                </w:tcPr>
                <w:p w14:paraId="6451A1D0" w14:textId="77777777" w:rsidR="005D5BD1" w:rsidRPr="00C37654" w:rsidRDefault="005D5BD1" w:rsidP="00406097">
                  <w:pPr>
                    <w:keepNext/>
                    <w:rPr>
                      <w:rFonts w:cs="Arial"/>
                      <w:color w:val="000000"/>
                    </w:rPr>
                  </w:pPr>
                  <w:r>
                    <w:rPr>
                      <w:rFonts w:cs="Arial"/>
                      <w:color w:val="000000"/>
                    </w:rPr>
                    <w:lastRenderedPageBreak/>
                    <w:t>A</w:t>
                  </w:r>
                  <w:r w:rsidRPr="005B64FF">
                    <w:rPr>
                      <w:rFonts w:cs="Arial"/>
                      <w:color w:val="000000"/>
                    </w:rPr>
                    <w:t xml:space="preserve"> decision about continuation or cessation of DAPT, prasugrel or ticagrelor medications prior to invasive procedures </w:t>
                  </w:r>
                  <w:r>
                    <w:rPr>
                      <w:rFonts w:cs="Arial"/>
                      <w:color w:val="000000"/>
                    </w:rPr>
                    <w:t>was</w:t>
                  </w:r>
                  <w:r w:rsidRPr="005B64FF">
                    <w:rPr>
                      <w:rFonts w:cs="Arial"/>
                      <w:color w:val="000000"/>
                    </w:rPr>
                    <w:t xml:space="preserve"> discussed with the patient's relevant specialist for the indication prior to a procedure</w:t>
                  </w:r>
                </w:p>
              </w:tc>
              <w:tc>
                <w:tcPr>
                  <w:tcW w:w="712" w:type="pct"/>
                  <w:shd w:val="clear" w:color="auto" w:fill="auto"/>
                </w:tcPr>
                <w:p w14:paraId="2AB981BB" w14:textId="77777777" w:rsidR="005D5BD1" w:rsidRPr="00CB0B17" w:rsidRDefault="005D5BD1" w:rsidP="005D5BD1">
                  <w:pPr>
                    <w:rPr>
                      <w:rFonts w:cs="Arial"/>
                    </w:rPr>
                  </w:pPr>
                </w:p>
              </w:tc>
              <w:tc>
                <w:tcPr>
                  <w:tcW w:w="889" w:type="pct"/>
                </w:tcPr>
                <w:p w14:paraId="29B29C41" w14:textId="77777777" w:rsidR="005D5BD1" w:rsidRPr="00CB0B17" w:rsidRDefault="005D5BD1" w:rsidP="005D5BD1">
                  <w:pPr>
                    <w:rPr>
                      <w:rFonts w:cs="Arial"/>
                    </w:rPr>
                  </w:pPr>
                </w:p>
              </w:tc>
              <w:tc>
                <w:tcPr>
                  <w:tcW w:w="1021" w:type="pct"/>
                </w:tcPr>
                <w:p w14:paraId="442141BB" w14:textId="77777777" w:rsidR="005D5BD1" w:rsidRPr="00CB0B17" w:rsidRDefault="005D5BD1" w:rsidP="005D5BD1">
                  <w:pPr>
                    <w:rPr>
                      <w:rFonts w:cs="Arial"/>
                    </w:rPr>
                  </w:pPr>
                </w:p>
              </w:tc>
            </w:tr>
            <w:tr w:rsidR="005D5BD1" w:rsidRPr="00CB0B17" w14:paraId="46479B05" w14:textId="77777777" w:rsidTr="003F2BB6">
              <w:tc>
                <w:tcPr>
                  <w:tcW w:w="2378" w:type="pct"/>
                  <w:shd w:val="clear" w:color="auto" w:fill="auto"/>
                </w:tcPr>
                <w:p w14:paraId="11F7A378" w14:textId="6450150C" w:rsidR="005D5BD1" w:rsidRPr="00C37654" w:rsidRDefault="005D5BD1" w:rsidP="00406097">
                  <w:pPr>
                    <w:rPr>
                      <w:rFonts w:cs="Arial"/>
                      <w:color w:val="000000"/>
                    </w:rPr>
                  </w:pPr>
                  <w:r w:rsidRPr="00C37654">
                    <w:rPr>
                      <w:rFonts w:cs="Arial"/>
                      <w:color w:val="000000"/>
                    </w:rPr>
                    <w:t xml:space="preserve">Testing of the platelet count </w:t>
                  </w:r>
                  <w:r>
                    <w:rPr>
                      <w:rFonts w:cs="Arial"/>
                      <w:color w:val="000000"/>
                    </w:rPr>
                    <w:t>was</w:t>
                  </w:r>
                  <w:r w:rsidRPr="00C37654">
                    <w:rPr>
                      <w:rFonts w:cs="Arial"/>
                      <w:color w:val="000000"/>
                    </w:rPr>
                    <w:t xml:space="preserve"> performed prior to low-risk procedures (e.g. central line insertion), unless there </w:t>
                  </w:r>
                  <w:r>
                    <w:rPr>
                      <w:rFonts w:cs="Arial"/>
                      <w:color w:val="000000"/>
                    </w:rPr>
                    <w:t>was</w:t>
                  </w:r>
                  <w:r w:rsidRPr="00C37654">
                    <w:rPr>
                      <w:rFonts w:cs="Arial"/>
                      <w:color w:val="000000"/>
                    </w:rPr>
                    <w:t xml:space="preserve"> a known haematological disorder where platelet count </w:t>
                  </w:r>
                  <w:r>
                    <w:rPr>
                      <w:rFonts w:cs="Arial"/>
                      <w:color w:val="000000"/>
                    </w:rPr>
                    <w:t>was</w:t>
                  </w:r>
                  <w:r w:rsidRPr="00C37654">
                    <w:rPr>
                      <w:rFonts w:cs="Arial"/>
                      <w:color w:val="000000"/>
                    </w:rPr>
                    <w:t xml:space="preserve"> &lt;30×10</w:t>
                  </w:r>
                  <w:r w:rsidRPr="000003A6">
                    <w:rPr>
                      <w:rFonts w:cs="Arial"/>
                      <w:color w:val="000000"/>
                      <w:vertAlign w:val="superscript"/>
                    </w:rPr>
                    <w:t>9</w:t>
                  </w:r>
                  <w:r w:rsidRPr="00C37654">
                    <w:rPr>
                      <w:rFonts w:cs="Arial"/>
                      <w:color w:val="000000"/>
                    </w:rPr>
                    <w:t>/L</w:t>
                  </w:r>
                  <w:r>
                    <w:rPr>
                      <w:rFonts w:cs="Arial"/>
                      <w:color w:val="000000"/>
                    </w:rPr>
                    <w:t xml:space="preserve"> (</w:t>
                  </w:r>
                  <w:r w:rsidR="00BA07B5">
                    <w:rPr>
                      <w:rFonts w:cs="Arial"/>
                      <w:color w:val="000000"/>
                    </w:rPr>
                    <w:t>t</w:t>
                  </w:r>
                  <w:r>
                    <w:rPr>
                      <w:rFonts w:cs="Arial"/>
                      <w:color w:val="000000"/>
                    </w:rPr>
                    <w:t>arget % compliance: 0%)</w:t>
                  </w:r>
                </w:p>
              </w:tc>
              <w:tc>
                <w:tcPr>
                  <w:tcW w:w="712" w:type="pct"/>
                  <w:shd w:val="clear" w:color="auto" w:fill="auto"/>
                </w:tcPr>
                <w:p w14:paraId="6446F833" w14:textId="77777777" w:rsidR="005D5BD1" w:rsidRPr="00CB0B17" w:rsidRDefault="005D5BD1" w:rsidP="005D5BD1">
                  <w:pPr>
                    <w:rPr>
                      <w:rFonts w:cs="Arial"/>
                    </w:rPr>
                  </w:pPr>
                </w:p>
              </w:tc>
              <w:tc>
                <w:tcPr>
                  <w:tcW w:w="889" w:type="pct"/>
                </w:tcPr>
                <w:p w14:paraId="11ACB2EB" w14:textId="77777777" w:rsidR="005D5BD1" w:rsidRPr="00CB0B17" w:rsidRDefault="005D5BD1" w:rsidP="005D5BD1">
                  <w:pPr>
                    <w:rPr>
                      <w:rFonts w:cs="Arial"/>
                    </w:rPr>
                  </w:pPr>
                </w:p>
              </w:tc>
              <w:tc>
                <w:tcPr>
                  <w:tcW w:w="1021" w:type="pct"/>
                </w:tcPr>
                <w:p w14:paraId="2958948D" w14:textId="77777777" w:rsidR="005D5BD1" w:rsidRPr="00CB0B17" w:rsidRDefault="005D5BD1" w:rsidP="005D5BD1">
                  <w:pPr>
                    <w:rPr>
                      <w:rFonts w:cs="Arial"/>
                    </w:rPr>
                  </w:pPr>
                </w:p>
              </w:tc>
            </w:tr>
            <w:tr w:rsidR="005D5BD1" w:rsidRPr="00CB0B17" w14:paraId="02D3E0D3" w14:textId="77777777" w:rsidTr="003F2BB6">
              <w:tc>
                <w:tcPr>
                  <w:tcW w:w="2378" w:type="pct"/>
                  <w:shd w:val="clear" w:color="auto" w:fill="auto"/>
                </w:tcPr>
                <w:p w14:paraId="4412F8B1" w14:textId="2B94285F" w:rsidR="005D5BD1" w:rsidRPr="00C37654" w:rsidRDefault="005D5BD1" w:rsidP="00406097">
                  <w:pPr>
                    <w:rPr>
                      <w:rFonts w:cs="Arial"/>
                      <w:color w:val="000000"/>
                    </w:rPr>
                  </w:pPr>
                  <w:r w:rsidRPr="00C37654">
                    <w:rPr>
                      <w:rFonts w:cs="Arial"/>
                      <w:color w:val="000000"/>
                    </w:rPr>
                    <w:t xml:space="preserve">Routine testing of PT/INR, APTT, fibrinogen and platelet count </w:t>
                  </w:r>
                  <w:r>
                    <w:rPr>
                      <w:rFonts w:cs="Arial"/>
                      <w:color w:val="000000"/>
                    </w:rPr>
                    <w:t xml:space="preserve">was </w:t>
                  </w:r>
                  <w:r w:rsidRPr="00C37654">
                    <w:rPr>
                      <w:rFonts w:cs="Arial"/>
                      <w:color w:val="000000"/>
                    </w:rPr>
                    <w:t>performed before low-risk procedures in patients with stable liver disease (e.g. therapeutic or diagnostic paracentesis)</w:t>
                  </w:r>
                  <w:r>
                    <w:rPr>
                      <w:rFonts w:cs="Arial"/>
                      <w:color w:val="000000"/>
                    </w:rPr>
                    <w:t xml:space="preserve"> (</w:t>
                  </w:r>
                  <w:r w:rsidR="00BA07B5">
                    <w:rPr>
                      <w:rFonts w:cs="Arial"/>
                      <w:color w:val="000000"/>
                    </w:rPr>
                    <w:t>t</w:t>
                  </w:r>
                  <w:r>
                    <w:rPr>
                      <w:rFonts w:cs="Arial"/>
                      <w:color w:val="000000"/>
                    </w:rPr>
                    <w:t>arget % compliance: 0%)</w:t>
                  </w:r>
                </w:p>
              </w:tc>
              <w:tc>
                <w:tcPr>
                  <w:tcW w:w="712" w:type="pct"/>
                  <w:shd w:val="clear" w:color="auto" w:fill="auto"/>
                </w:tcPr>
                <w:p w14:paraId="26DB6B07" w14:textId="77777777" w:rsidR="005D5BD1" w:rsidRPr="00CB0B17" w:rsidRDefault="005D5BD1" w:rsidP="005D5BD1">
                  <w:pPr>
                    <w:rPr>
                      <w:rFonts w:cs="Arial"/>
                    </w:rPr>
                  </w:pPr>
                </w:p>
              </w:tc>
              <w:tc>
                <w:tcPr>
                  <w:tcW w:w="889" w:type="pct"/>
                </w:tcPr>
                <w:p w14:paraId="4AA5C562" w14:textId="77777777" w:rsidR="005D5BD1" w:rsidRPr="00CB0B17" w:rsidRDefault="005D5BD1" w:rsidP="005D5BD1">
                  <w:pPr>
                    <w:rPr>
                      <w:rFonts w:cs="Arial"/>
                    </w:rPr>
                  </w:pPr>
                </w:p>
              </w:tc>
              <w:tc>
                <w:tcPr>
                  <w:tcW w:w="1021" w:type="pct"/>
                </w:tcPr>
                <w:p w14:paraId="54921246" w14:textId="77777777" w:rsidR="005D5BD1" w:rsidRPr="00CB0B17" w:rsidRDefault="005D5BD1" w:rsidP="005D5BD1">
                  <w:pPr>
                    <w:rPr>
                      <w:rFonts w:cs="Arial"/>
                    </w:rPr>
                  </w:pPr>
                </w:p>
              </w:tc>
            </w:tr>
            <w:tr w:rsidR="005D5BD1" w:rsidRPr="00CB0B17" w14:paraId="42E398E1" w14:textId="77777777" w:rsidTr="003F2BB6">
              <w:tc>
                <w:tcPr>
                  <w:tcW w:w="2378" w:type="pct"/>
                  <w:shd w:val="clear" w:color="auto" w:fill="auto"/>
                </w:tcPr>
                <w:p w14:paraId="1564A684" w14:textId="6DDD8612" w:rsidR="005D5BD1" w:rsidRPr="00C37654" w:rsidRDefault="005D5BD1" w:rsidP="00406097">
                  <w:pPr>
                    <w:rPr>
                      <w:rFonts w:cs="Arial"/>
                      <w:color w:val="000000"/>
                    </w:rPr>
                  </w:pPr>
                  <w:r w:rsidRPr="00C37654">
                    <w:rPr>
                      <w:rFonts w:cs="Arial"/>
                      <w:color w:val="000000"/>
                    </w:rPr>
                    <w:t xml:space="preserve">A coagulation screen (PT/INR, APTT and fibrinogen) </w:t>
                  </w:r>
                  <w:r>
                    <w:rPr>
                      <w:rFonts w:cs="Arial"/>
                      <w:color w:val="000000"/>
                    </w:rPr>
                    <w:t>was</w:t>
                  </w:r>
                  <w:r w:rsidRPr="00C37654">
                    <w:rPr>
                      <w:rFonts w:cs="Arial"/>
                      <w:color w:val="000000"/>
                    </w:rPr>
                    <w:t xml:space="preserve"> performed in patients undergoing a procedure with a high risk of bleeding and liver disease, malnutrition, prolonged antibiotic use and in patients with a risk of coagulopathy (e.g. sepsis/critical care patients)</w:t>
                  </w:r>
                </w:p>
              </w:tc>
              <w:tc>
                <w:tcPr>
                  <w:tcW w:w="712" w:type="pct"/>
                  <w:shd w:val="clear" w:color="auto" w:fill="auto"/>
                </w:tcPr>
                <w:p w14:paraId="5154E1B5" w14:textId="77777777" w:rsidR="005D5BD1" w:rsidRPr="00CB0B17" w:rsidRDefault="005D5BD1" w:rsidP="005D5BD1">
                  <w:pPr>
                    <w:rPr>
                      <w:rFonts w:cs="Arial"/>
                    </w:rPr>
                  </w:pPr>
                </w:p>
              </w:tc>
              <w:tc>
                <w:tcPr>
                  <w:tcW w:w="889" w:type="pct"/>
                </w:tcPr>
                <w:p w14:paraId="4063BFBC" w14:textId="77777777" w:rsidR="005D5BD1" w:rsidRPr="00CB0B17" w:rsidRDefault="005D5BD1" w:rsidP="005D5BD1">
                  <w:pPr>
                    <w:rPr>
                      <w:rFonts w:cs="Arial"/>
                    </w:rPr>
                  </w:pPr>
                </w:p>
              </w:tc>
              <w:tc>
                <w:tcPr>
                  <w:tcW w:w="1021" w:type="pct"/>
                </w:tcPr>
                <w:p w14:paraId="4DBF671D" w14:textId="77777777" w:rsidR="005D5BD1" w:rsidRPr="00CB0B17" w:rsidRDefault="005D5BD1" w:rsidP="005D5BD1">
                  <w:pPr>
                    <w:rPr>
                      <w:rFonts w:cs="Arial"/>
                    </w:rPr>
                  </w:pPr>
                </w:p>
              </w:tc>
            </w:tr>
            <w:tr w:rsidR="005D5BD1" w:rsidRPr="00CB0B17" w14:paraId="50EF787E" w14:textId="77777777" w:rsidTr="003F2BB6">
              <w:tc>
                <w:tcPr>
                  <w:tcW w:w="2378" w:type="pct"/>
                  <w:shd w:val="clear" w:color="auto" w:fill="auto"/>
                </w:tcPr>
                <w:p w14:paraId="306CC54F" w14:textId="77777777" w:rsidR="005D5BD1" w:rsidRPr="00C37654" w:rsidRDefault="005D5BD1" w:rsidP="00406097">
                  <w:pPr>
                    <w:keepNext/>
                    <w:rPr>
                      <w:rFonts w:cs="Arial"/>
                      <w:color w:val="000000"/>
                    </w:rPr>
                  </w:pPr>
                  <w:r>
                    <w:rPr>
                      <w:rFonts w:cs="Arial"/>
                      <w:color w:val="000000"/>
                    </w:rPr>
                    <w:lastRenderedPageBreak/>
                    <w:t>A</w:t>
                  </w:r>
                  <w:r w:rsidRPr="005B64FF">
                    <w:rPr>
                      <w:rFonts w:cs="Arial"/>
                      <w:color w:val="000000"/>
                    </w:rPr>
                    <w:t xml:space="preserve"> </w:t>
                  </w:r>
                  <w:proofErr w:type="spellStart"/>
                  <w:r w:rsidRPr="005B64FF">
                    <w:rPr>
                      <w:rFonts w:cs="Arial"/>
                      <w:color w:val="000000"/>
                    </w:rPr>
                    <w:t>preprocedure</w:t>
                  </w:r>
                  <w:proofErr w:type="spellEnd"/>
                  <w:r w:rsidRPr="005B64FF">
                    <w:rPr>
                      <w:rFonts w:cs="Arial"/>
                      <w:color w:val="000000"/>
                    </w:rPr>
                    <w:t xml:space="preserve"> INR on patients </w:t>
                  </w:r>
                  <w:r>
                    <w:rPr>
                      <w:rFonts w:cs="Arial"/>
                      <w:color w:val="000000"/>
                    </w:rPr>
                    <w:t>taking</w:t>
                  </w:r>
                  <w:r w:rsidRPr="005B64FF">
                    <w:rPr>
                      <w:rFonts w:cs="Arial"/>
                      <w:color w:val="000000"/>
                    </w:rPr>
                    <w:t xml:space="preserve"> a VKA</w:t>
                  </w:r>
                  <w:r>
                    <w:rPr>
                      <w:rFonts w:cs="Arial"/>
                      <w:color w:val="000000"/>
                    </w:rPr>
                    <w:t xml:space="preserve"> was performed </w:t>
                  </w:r>
                </w:p>
              </w:tc>
              <w:tc>
                <w:tcPr>
                  <w:tcW w:w="712" w:type="pct"/>
                  <w:shd w:val="clear" w:color="auto" w:fill="auto"/>
                </w:tcPr>
                <w:p w14:paraId="57DA2BCF" w14:textId="77777777" w:rsidR="005D5BD1" w:rsidRPr="00CB0B17" w:rsidRDefault="005D5BD1" w:rsidP="005D5BD1">
                  <w:pPr>
                    <w:rPr>
                      <w:rFonts w:cs="Arial"/>
                    </w:rPr>
                  </w:pPr>
                </w:p>
              </w:tc>
              <w:tc>
                <w:tcPr>
                  <w:tcW w:w="889" w:type="pct"/>
                </w:tcPr>
                <w:p w14:paraId="67CF824F" w14:textId="77777777" w:rsidR="005D5BD1" w:rsidRPr="00CB0B17" w:rsidRDefault="005D5BD1" w:rsidP="005D5BD1">
                  <w:pPr>
                    <w:rPr>
                      <w:rFonts w:cs="Arial"/>
                    </w:rPr>
                  </w:pPr>
                </w:p>
              </w:tc>
              <w:tc>
                <w:tcPr>
                  <w:tcW w:w="1021" w:type="pct"/>
                </w:tcPr>
                <w:p w14:paraId="1EC6EFEF" w14:textId="77777777" w:rsidR="005D5BD1" w:rsidRPr="00CB0B17" w:rsidRDefault="005D5BD1" w:rsidP="005D5BD1">
                  <w:pPr>
                    <w:rPr>
                      <w:rFonts w:cs="Arial"/>
                    </w:rPr>
                  </w:pPr>
                </w:p>
              </w:tc>
            </w:tr>
            <w:tr w:rsidR="005D5BD1" w:rsidRPr="00CB0B17" w14:paraId="3B581AD8" w14:textId="77777777" w:rsidTr="003F2BB6">
              <w:tc>
                <w:tcPr>
                  <w:tcW w:w="2378" w:type="pct"/>
                  <w:shd w:val="clear" w:color="auto" w:fill="auto"/>
                </w:tcPr>
                <w:p w14:paraId="0DEE5D5B" w14:textId="77777777" w:rsidR="005D5BD1" w:rsidRPr="00C37654" w:rsidRDefault="005D5BD1" w:rsidP="00406097">
                  <w:pPr>
                    <w:rPr>
                      <w:rFonts w:cs="Arial"/>
                      <w:color w:val="000000"/>
                    </w:rPr>
                  </w:pPr>
                  <w:r w:rsidRPr="00C37654">
                    <w:rPr>
                      <w:rFonts w:cs="Arial"/>
                      <w:color w:val="000000"/>
                    </w:rPr>
                    <w:t>Vitamin K replacement in patients with an increased INR, secondary to vitamin K deficiency, for example, cholestatic liver disease, malnutrition or prolonged antibiotic use</w:t>
                  </w:r>
                  <w:r>
                    <w:rPr>
                      <w:rFonts w:cs="Arial"/>
                      <w:color w:val="000000"/>
                    </w:rPr>
                    <w:t>,</w:t>
                  </w:r>
                  <w:r w:rsidRPr="00C37654">
                    <w:rPr>
                      <w:rFonts w:cs="Arial"/>
                      <w:color w:val="000000"/>
                    </w:rPr>
                    <w:t xml:space="preserve"> </w:t>
                  </w:r>
                  <w:r>
                    <w:rPr>
                      <w:rFonts w:cs="Arial"/>
                      <w:color w:val="000000"/>
                    </w:rPr>
                    <w:t>was</w:t>
                  </w:r>
                  <w:r w:rsidRPr="00C37654">
                    <w:rPr>
                      <w:rFonts w:cs="Arial"/>
                      <w:color w:val="000000"/>
                    </w:rPr>
                    <w:t xml:space="preserve"> considered</w:t>
                  </w:r>
                </w:p>
              </w:tc>
              <w:tc>
                <w:tcPr>
                  <w:tcW w:w="712" w:type="pct"/>
                  <w:shd w:val="clear" w:color="auto" w:fill="auto"/>
                </w:tcPr>
                <w:p w14:paraId="0C802EE6" w14:textId="77777777" w:rsidR="005D5BD1" w:rsidRPr="00CB0B17" w:rsidRDefault="005D5BD1" w:rsidP="005D5BD1">
                  <w:pPr>
                    <w:rPr>
                      <w:rFonts w:cs="Arial"/>
                    </w:rPr>
                  </w:pPr>
                </w:p>
              </w:tc>
              <w:tc>
                <w:tcPr>
                  <w:tcW w:w="889" w:type="pct"/>
                </w:tcPr>
                <w:p w14:paraId="2C93E1EE" w14:textId="77777777" w:rsidR="005D5BD1" w:rsidRPr="00CB0B17" w:rsidRDefault="005D5BD1" w:rsidP="005D5BD1">
                  <w:pPr>
                    <w:rPr>
                      <w:rFonts w:cs="Arial"/>
                    </w:rPr>
                  </w:pPr>
                </w:p>
              </w:tc>
              <w:tc>
                <w:tcPr>
                  <w:tcW w:w="1021" w:type="pct"/>
                </w:tcPr>
                <w:p w14:paraId="404F4007" w14:textId="77777777" w:rsidR="005D5BD1" w:rsidRPr="00CB0B17" w:rsidRDefault="005D5BD1" w:rsidP="005D5BD1">
                  <w:pPr>
                    <w:rPr>
                      <w:rFonts w:cs="Arial"/>
                    </w:rPr>
                  </w:pPr>
                </w:p>
              </w:tc>
            </w:tr>
            <w:tr w:rsidR="005D5BD1" w:rsidRPr="00CB0B17" w14:paraId="753F3623" w14:textId="77777777" w:rsidTr="003F2BB6">
              <w:tc>
                <w:tcPr>
                  <w:tcW w:w="2378" w:type="pct"/>
                  <w:shd w:val="clear" w:color="auto" w:fill="auto"/>
                </w:tcPr>
                <w:p w14:paraId="3E0AA331" w14:textId="666D5E44" w:rsidR="005D5BD1" w:rsidRPr="00C37654" w:rsidRDefault="005D5BD1" w:rsidP="00406097">
                  <w:pPr>
                    <w:rPr>
                      <w:rFonts w:cs="Arial"/>
                      <w:color w:val="000000"/>
                    </w:rPr>
                  </w:pPr>
                  <w:proofErr w:type="spellStart"/>
                  <w:r w:rsidRPr="00C37654">
                    <w:rPr>
                      <w:rFonts w:cs="Arial"/>
                      <w:color w:val="000000"/>
                    </w:rPr>
                    <w:t>Preprocedure</w:t>
                  </w:r>
                  <w:proofErr w:type="spellEnd"/>
                  <w:r w:rsidRPr="00C37654">
                    <w:rPr>
                      <w:rFonts w:cs="Arial"/>
                      <w:color w:val="000000"/>
                    </w:rPr>
                    <w:t xml:space="preserve"> vitamin K replacement </w:t>
                  </w:r>
                  <w:r>
                    <w:rPr>
                      <w:rFonts w:cs="Arial"/>
                      <w:color w:val="000000"/>
                    </w:rPr>
                    <w:t xml:space="preserve">was performed </w:t>
                  </w:r>
                  <w:r w:rsidRPr="00C37654">
                    <w:rPr>
                      <w:rFonts w:cs="Arial"/>
                      <w:color w:val="000000"/>
                    </w:rPr>
                    <w:t>in individuals with cirrhosis without risk factors for vitamin K deficiency</w:t>
                  </w:r>
                  <w:r>
                    <w:rPr>
                      <w:rFonts w:cs="Arial"/>
                      <w:color w:val="000000"/>
                    </w:rPr>
                    <w:t xml:space="preserve"> (</w:t>
                  </w:r>
                  <w:r w:rsidR="00BA07B5">
                    <w:rPr>
                      <w:rFonts w:cs="Arial"/>
                      <w:color w:val="000000"/>
                    </w:rPr>
                    <w:t>t</w:t>
                  </w:r>
                  <w:r>
                    <w:rPr>
                      <w:rFonts w:cs="Arial"/>
                      <w:color w:val="000000"/>
                    </w:rPr>
                    <w:t>arget % compliance: 0%)</w:t>
                  </w:r>
                </w:p>
              </w:tc>
              <w:tc>
                <w:tcPr>
                  <w:tcW w:w="712" w:type="pct"/>
                  <w:shd w:val="clear" w:color="auto" w:fill="auto"/>
                </w:tcPr>
                <w:p w14:paraId="392356A8" w14:textId="77777777" w:rsidR="005D5BD1" w:rsidRPr="00CB0B17" w:rsidRDefault="005D5BD1" w:rsidP="005D5BD1">
                  <w:pPr>
                    <w:rPr>
                      <w:rFonts w:cs="Arial"/>
                    </w:rPr>
                  </w:pPr>
                </w:p>
              </w:tc>
              <w:tc>
                <w:tcPr>
                  <w:tcW w:w="889" w:type="pct"/>
                </w:tcPr>
                <w:p w14:paraId="1BC04C4A" w14:textId="77777777" w:rsidR="005D5BD1" w:rsidRPr="00CB0B17" w:rsidRDefault="005D5BD1" w:rsidP="005D5BD1">
                  <w:pPr>
                    <w:rPr>
                      <w:rFonts w:cs="Arial"/>
                    </w:rPr>
                  </w:pPr>
                </w:p>
              </w:tc>
              <w:tc>
                <w:tcPr>
                  <w:tcW w:w="1021" w:type="pct"/>
                </w:tcPr>
                <w:p w14:paraId="3B3B83E2" w14:textId="77777777" w:rsidR="005D5BD1" w:rsidRPr="00CB0B17" w:rsidRDefault="005D5BD1" w:rsidP="005D5BD1">
                  <w:pPr>
                    <w:rPr>
                      <w:rFonts w:cs="Arial"/>
                    </w:rPr>
                  </w:pPr>
                </w:p>
              </w:tc>
            </w:tr>
            <w:tr w:rsidR="005D5BD1" w:rsidRPr="00CB0B17" w14:paraId="26D2D44A" w14:textId="77777777" w:rsidTr="003F2BB6">
              <w:tc>
                <w:tcPr>
                  <w:tcW w:w="2378" w:type="pct"/>
                  <w:shd w:val="clear" w:color="auto" w:fill="auto"/>
                </w:tcPr>
                <w:p w14:paraId="150CD008" w14:textId="0CC64F1E" w:rsidR="005D5BD1" w:rsidRPr="00C37654" w:rsidRDefault="005D5BD1" w:rsidP="00406097">
                  <w:pPr>
                    <w:rPr>
                      <w:rFonts w:cs="Arial"/>
                      <w:color w:val="000000"/>
                    </w:rPr>
                  </w:pPr>
                  <w:r w:rsidRPr="00C37654">
                    <w:rPr>
                      <w:rFonts w:cs="Arial"/>
                      <w:color w:val="000000"/>
                    </w:rPr>
                    <w:t xml:space="preserve">Routine use of FFP or other replacement therapies to correct abnormal coagulation results </w:t>
                  </w:r>
                  <w:r>
                    <w:rPr>
                      <w:rFonts w:cs="Arial"/>
                      <w:color w:val="000000"/>
                    </w:rPr>
                    <w:t>was</w:t>
                  </w:r>
                  <w:r w:rsidRPr="00C37654">
                    <w:rPr>
                      <w:rFonts w:cs="Arial"/>
                      <w:color w:val="000000"/>
                    </w:rPr>
                    <w:t xml:space="preserve"> carried out in patients undergoing a procedure</w:t>
                  </w:r>
                  <w:r>
                    <w:rPr>
                      <w:rFonts w:cs="Arial"/>
                      <w:color w:val="000000"/>
                    </w:rPr>
                    <w:t xml:space="preserve"> (</w:t>
                  </w:r>
                  <w:r w:rsidR="00BA07B5">
                    <w:rPr>
                      <w:rFonts w:cs="Arial"/>
                      <w:color w:val="000000"/>
                    </w:rPr>
                    <w:t xml:space="preserve">target </w:t>
                  </w:r>
                  <w:r>
                    <w:rPr>
                      <w:rFonts w:cs="Arial"/>
                      <w:color w:val="000000"/>
                    </w:rPr>
                    <w:t>% compliance: 0%)</w:t>
                  </w:r>
                </w:p>
              </w:tc>
              <w:tc>
                <w:tcPr>
                  <w:tcW w:w="712" w:type="pct"/>
                  <w:shd w:val="clear" w:color="auto" w:fill="auto"/>
                </w:tcPr>
                <w:p w14:paraId="27958B5D" w14:textId="77777777" w:rsidR="005D5BD1" w:rsidRPr="00CB0B17" w:rsidRDefault="005D5BD1" w:rsidP="005D5BD1">
                  <w:pPr>
                    <w:rPr>
                      <w:rFonts w:cs="Arial"/>
                    </w:rPr>
                  </w:pPr>
                </w:p>
              </w:tc>
              <w:tc>
                <w:tcPr>
                  <w:tcW w:w="889" w:type="pct"/>
                </w:tcPr>
                <w:p w14:paraId="2F103B10" w14:textId="77777777" w:rsidR="005D5BD1" w:rsidRPr="00CB0B17" w:rsidRDefault="005D5BD1" w:rsidP="005D5BD1">
                  <w:pPr>
                    <w:rPr>
                      <w:rFonts w:cs="Arial"/>
                    </w:rPr>
                  </w:pPr>
                </w:p>
              </w:tc>
              <w:tc>
                <w:tcPr>
                  <w:tcW w:w="1021" w:type="pct"/>
                </w:tcPr>
                <w:p w14:paraId="1CB6AB35" w14:textId="77777777" w:rsidR="005D5BD1" w:rsidRPr="00CB0B17" w:rsidRDefault="005D5BD1" w:rsidP="005D5BD1">
                  <w:pPr>
                    <w:rPr>
                      <w:rFonts w:cs="Arial"/>
                    </w:rPr>
                  </w:pPr>
                </w:p>
              </w:tc>
            </w:tr>
            <w:tr w:rsidR="005D5BD1" w:rsidRPr="00CB0B17" w14:paraId="1C520BAA" w14:textId="77777777" w:rsidTr="003F2BB6">
              <w:tc>
                <w:tcPr>
                  <w:tcW w:w="2378" w:type="pct"/>
                  <w:shd w:val="clear" w:color="auto" w:fill="auto"/>
                </w:tcPr>
                <w:p w14:paraId="0126F207" w14:textId="2ED5E168" w:rsidR="005D5BD1" w:rsidRPr="00C37654" w:rsidRDefault="005D5BD1" w:rsidP="00406097">
                  <w:pPr>
                    <w:rPr>
                      <w:rFonts w:cs="Arial"/>
                      <w:color w:val="000000"/>
                    </w:rPr>
                  </w:pPr>
                  <w:r w:rsidRPr="00C37654">
                    <w:rPr>
                      <w:rFonts w:cs="Arial"/>
                      <w:color w:val="000000"/>
                    </w:rPr>
                    <w:t xml:space="preserve">Preprocedural testing of fibrinogen in non-critically ill patients </w:t>
                  </w:r>
                  <w:r>
                    <w:rPr>
                      <w:rFonts w:cs="Arial"/>
                      <w:color w:val="000000"/>
                    </w:rPr>
                    <w:t xml:space="preserve">was </w:t>
                  </w:r>
                  <w:r w:rsidRPr="00C37654">
                    <w:rPr>
                      <w:rFonts w:cs="Arial"/>
                      <w:color w:val="000000"/>
                    </w:rPr>
                    <w:t>performed</w:t>
                  </w:r>
                  <w:r>
                    <w:rPr>
                      <w:rFonts w:cs="Arial"/>
                      <w:color w:val="000000"/>
                    </w:rPr>
                    <w:t xml:space="preserve"> (</w:t>
                  </w:r>
                  <w:r w:rsidR="00BA07B5">
                    <w:rPr>
                      <w:rFonts w:cs="Arial"/>
                      <w:color w:val="000000"/>
                    </w:rPr>
                    <w:t xml:space="preserve">target </w:t>
                  </w:r>
                  <w:r>
                    <w:rPr>
                      <w:rFonts w:cs="Arial"/>
                      <w:color w:val="000000"/>
                    </w:rPr>
                    <w:t>% compliance: 0%)</w:t>
                  </w:r>
                </w:p>
              </w:tc>
              <w:tc>
                <w:tcPr>
                  <w:tcW w:w="712" w:type="pct"/>
                  <w:shd w:val="clear" w:color="auto" w:fill="auto"/>
                </w:tcPr>
                <w:p w14:paraId="4E1FB389" w14:textId="77777777" w:rsidR="005D5BD1" w:rsidRPr="00CB0B17" w:rsidRDefault="005D5BD1" w:rsidP="005D5BD1">
                  <w:pPr>
                    <w:rPr>
                      <w:rFonts w:cs="Arial"/>
                    </w:rPr>
                  </w:pPr>
                </w:p>
              </w:tc>
              <w:tc>
                <w:tcPr>
                  <w:tcW w:w="889" w:type="pct"/>
                </w:tcPr>
                <w:p w14:paraId="31376311" w14:textId="77777777" w:rsidR="005D5BD1" w:rsidRPr="00CB0B17" w:rsidRDefault="005D5BD1" w:rsidP="005D5BD1">
                  <w:pPr>
                    <w:rPr>
                      <w:rFonts w:cs="Arial"/>
                    </w:rPr>
                  </w:pPr>
                </w:p>
              </w:tc>
              <w:tc>
                <w:tcPr>
                  <w:tcW w:w="1021" w:type="pct"/>
                </w:tcPr>
                <w:p w14:paraId="34E04F61" w14:textId="77777777" w:rsidR="005D5BD1" w:rsidRPr="00CB0B17" w:rsidRDefault="005D5BD1" w:rsidP="005D5BD1">
                  <w:pPr>
                    <w:rPr>
                      <w:rFonts w:cs="Arial"/>
                    </w:rPr>
                  </w:pPr>
                </w:p>
              </w:tc>
            </w:tr>
            <w:tr w:rsidR="005D5BD1" w:rsidRPr="00CB0B17" w14:paraId="23A2C187" w14:textId="77777777" w:rsidTr="003F2BB6">
              <w:tc>
                <w:tcPr>
                  <w:tcW w:w="2378" w:type="pct"/>
                  <w:shd w:val="clear" w:color="auto" w:fill="auto"/>
                </w:tcPr>
                <w:p w14:paraId="129640EB" w14:textId="77777777" w:rsidR="005D5BD1" w:rsidRPr="00C37654" w:rsidRDefault="005D5BD1" w:rsidP="00406097">
                  <w:pPr>
                    <w:rPr>
                      <w:rFonts w:cs="Arial"/>
                      <w:color w:val="000000"/>
                    </w:rPr>
                  </w:pPr>
                  <w:r w:rsidRPr="00C37654">
                    <w:rPr>
                      <w:rFonts w:cs="Arial"/>
                      <w:color w:val="000000"/>
                    </w:rPr>
                    <w:t xml:space="preserve">A preprocedural fibrinogen level &gt;1.0 g/L </w:t>
                  </w:r>
                  <w:r>
                    <w:rPr>
                      <w:rFonts w:cs="Arial"/>
                      <w:color w:val="000000"/>
                    </w:rPr>
                    <w:t>was</w:t>
                  </w:r>
                  <w:r w:rsidRPr="00C37654">
                    <w:rPr>
                      <w:rFonts w:cs="Arial"/>
                      <w:color w:val="000000"/>
                    </w:rPr>
                    <w:t xml:space="preserve"> aimed for in critically ill patients undergoing a high-risk procedure </w:t>
                  </w:r>
                </w:p>
              </w:tc>
              <w:tc>
                <w:tcPr>
                  <w:tcW w:w="712" w:type="pct"/>
                  <w:shd w:val="clear" w:color="auto" w:fill="auto"/>
                </w:tcPr>
                <w:p w14:paraId="294527C7" w14:textId="77777777" w:rsidR="005D5BD1" w:rsidRPr="00CB0B17" w:rsidRDefault="005D5BD1" w:rsidP="005D5BD1">
                  <w:pPr>
                    <w:rPr>
                      <w:rFonts w:cs="Arial"/>
                    </w:rPr>
                  </w:pPr>
                </w:p>
              </w:tc>
              <w:tc>
                <w:tcPr>
                  <w:tcW w:w="889" w:type="pct"/>
                </w:tcPr>
                <w:p w14:paraId="5D13BDCE" w14:textId="77777777" w:rsidR="005D5BD1" w:rsidRPr="00CB0B17" w:rsidRDefault="005D5BD1" w:rsidP="005D5BD1">
                  <w:pPr>
                    <w:rPr>
                      <w:rFonts w:cs="Arial"/>
                    </w:rPr>
                  </w:pPr>
                </w:p>
              </w:tc>
              <w:tc>
                <w:tcPr>
                  <w:tcW w:w="1021" w:type="pct"/>
                </w:tcPr>
                <w:p w14:paraId="596570BC" w14:textId="77777777" w:rsidR="005D5BD1" w:rsidRPr="00CB0B17" w:rsidRDefault="005D5BD1" w:rsidP="005D5BD1">
                  <w:pPr>
                    <w:rPr>
                      <w:rFonts w:cs="Arial"/>
                    </w:rPr>
                  </w:pPr>
                </w:p>
              </w:tc>
            </w:tr>
            <w:tr w:rsidR="005D5BD1" w:rsidRPr="00CB0B17" w14:paraId="04420131" w14:textId="77777777" w:rsidTr="003F2BB6">
              <w:tc>
                <w:tcPr>
                  <w:tcW w:w="2378" w:type="pct"/>
                  <w:shd w:val="clear" w:color="auto" w:fill="auto"/>
                </w:tcPr>
                <w:p w14:paraId="35E71ABB" w14:textId="77777777" w:rsidR="005D5BD1" w:rsidRPr="00C37654" w:rsidRDefault="005D5BD1" w:rsidP="00406097">
                  <w:pPr>
                    <w:rPr>
                      <w:rFonts w:cs="Arial"/>
                      <w:color w:val="000000"/>
                    </w:rPr>
                  </w:pPr>
                  <w:r w:rsidRPr="00C37654">
                    <w:rPr>
                      <w:rFonts w:cs="Arial"/>
                      <w:color w:val="000000"/>
                    </w:rPr>
                    <w:t xml:space="preserve">A platelet transfusion </w:t>
                  </w:r>
                  <w:r>
                    <w:rPr>
                      <w:rFonts w:cs="Arial"/>
                      <w:color w:val="000000"/>
                    </w:rPr>
                    <w:t>was</w:t>
                  </w:r>
                  <w:r w:rsidRPr="00C37654">
                    <w:rPr>
                      <w:rFonts w:cs="Arial"/>
                      <w:color w:val="000000"/>
                    </w:rPr>
                    <w:t xml:space="preserve"> considered in patients with a platelet count &lt;30×10</w:t>
                  </w:r>
                  <w:r w:rsidRPr="000003A6">
                    <w:rPr>
                      <w:rFonts w:cs="Arial"/>
                      <w:color w:val="000000"/>
                      <w:vertAlign w:val="superscript"/>
                    </w:rPr>
                    <w:t>9</w:t>
                  </w:r>
                  <w:r w:rsidRPr="00C37654">
                    <w:rPr>
                      <w:rFonts w:cs="Arial"/>
                      <w:color w:val="000000"/>
                    </w:rPr>
                    <w:t xml:space="preserve">/L </w:t>
                  </w:r>
                  <w:r w:rsidRPr="00C37654">
                    <w:rPr>
                      <w:rFonts w:cs="Arial"/>
                      <w:color w:val="000000"/>
                    </w:rPr>
                    <w:lastRenderedPageBreak/>
                    <w:t>requiring a tunnelled central venous catheter</w:t>
                  </w:r>
                </w:p>
              </w:tc>
              <w:tc>
                <w:tcPr>
                  <w:tcW w:w="712" w:type="pct"/>
                  <w:shd w:val="clear" w:color="auto" w:fill="auto"/>
                </w:tcPr>
                <w:p w14:paraId="7DF944BB" w14:textId="77777777" w:rsidR="005D5BD1" w:rsidRPr="00CB0B17" w:rsidRDefault="005D5BD1" w:rsidP="005D5BD1">
                  <w:pPr>
                    <w:rPr>
                      <w:rFonts w:cs="Arial"/>
                    </w:rPr>
                  </w:pPr>
                </w:p>
              </w:tc>
              <w:tc>
                <w:tcPr>
                  <w:tcW w:w="889" w:type="pct"/>
                </w:tcPr>
                <w:p w14:paraId="5ECEC11A" w14:textId="77777777" w:rsidR="005D5BD1" w:rsidRPr="00CB0B17" w:rsidRDefault="005D5BD1" w:rsidP="005D5BD1">
                  <w:pPr>
                    <w:rPr>
                      <w:rFonts w:cs="Arial"/>
                    </w:rPr>
                  </w:pPr>
                </w:p>
              </w:tc>
              <w:tc>
                <w:tcPr>
                  <w:tcW w:w="1021" w:type="pct"/>
                </w:tcPr>
                <w:p w14:paraId="3CD2F65C" w14:textId="77777777" w:rsidR="005D5BD1" w:rsidRPr="00CB0B17" w:rsidRDefault="005D5BD1" w:rsidP="005D5BD1">
                  <w:pPr>
                    <w:rPr>
                      <w:rFonts w:cs="Arial"/>
                    </w:rPr>
                  </w:pPr>
                </w:p>
              </w:tc>
            </w:tr>
            <w:tr w:rsidR="005D5BD1" w:rsidRPr="00CB0B17" w14:paraId="5D881120" w14:textId="77777777" w:rsidTr="003F2BB6">
              <w:tc>
                <w:tcPr>
                  <w:tcW w:w="2378" w:type="pct"/>
                  <w:shd w:val="clear" w:color="auto" w:fill="auto"/>
                </w:tcPr>
                <w:p w14:paraId="73345923" w14:textId="77777777" w:rsidR="005D5BD1" w:rsidRPr="00C37654" w:rsidRDefault="005D5BD1" w:rsidP="00406097">
                  <w:pPr>
                    <w:rPr>
                      <w:rFonts w:cs="Arial"/>
                      <w:color w:val="000000"/>
                    </w:rPr>
                  </w:pPr>
                  <w:r w:rsidRPr="00C37654">
                    <w:rPr>
                      <w:rFonts w:cs="Arial"/>
                      <w:color w:val="000000"/>
                    </w:rPr>
                    <w:t xml:space="preserve">Thrombopoietin receptor agonists </w:t>
                  </w:r>
                  <w:r>
                    <w:rPr>
                      <w:rFonts w:cs="Arial"/>
                      <w:color w:val="000000"/>
                    </w:rPr>
                    <w:t>was</w:t>
                  </w:r>
                  <w:r w:rsidRPr="00C37654">
                    <w:rPr>
                      <w:rFonts w:cs="Arial"/>
                      <w:color w:val="000000"/>
                    </w:rPr>
                    <w:t xml:space="preserve"> considered for high-risk procedures in patients with liver disease, if the platelet count </w:t>
                  </w:r>
                  <w:r>
                    <w:rPr>
                      <w:rFonts w:cs="Arial"/>
                      <w:color w:val="000000"/>
                    </w:rPr>
                    <w:t>was</w:t>
                  </w:r>
                  <w:r w:rsidRPr="00C37654">
                    <w:rPr>
                      <w:rFonts w:cs="Arial"/>
                      <w:color w:val="000000"/>
                    </w:rPr>
                    <w:t xml:space="preserve"> &lt;50×10</w:t>
                  </w:r>
                  <w:r w:rsidRPr="000003A6">
                    <w:rPr>
                      <w:rFonts w:cs="Arial"/>
                      <w:color w:val="000000"/>
                      <w:vertAlign w:val="superscript"/>
                    </w:rPr>
                    <w:t>9</w:t>
                  </w:r>
                  <w:r w:rsidRPr="00C37654">
                    <w:rPr>
                      <w:rFonts w:cs="Arial"/>
                      <w:color w:val="000000"/>
                    </w:rPr>
                    <w:t>/L</w:t>
                  </w:r>
                </w:p>
              </w:tc>
              <w:tc>
                <w:tcPr>
                  <w:tcW w:w="712" w:type="pct"/>
                  <w:shd w:val="clear" w:color="auto" w:fill="auto"/>
                </w:tcPr>
                <w:p w14:paraId="3A4C9797" w14:textId="77777777" w:rsidR="005D5BD1" w:rsidRPr="00CB0B17" w:rsidRDefault="005D5BD1" w:rsidP="005D5BD1">
                  <w:pPr>
                    <w:rPr>
                      <w:rFonts w:cs="Arial"/>
                    </w:rPr>
                  </w:pPr>
                </w:p>
              </w:tc>
              <w:tc>
                <w:tcPr>
                  <w:tcW w:w="889" w:type="pct"/>
                </w:tcPr>
                <w:p w14:paraId="276049B5" w14:textId="77777777" w:rsidR="005D5BD1" w:rsidRPr="00CB0B17" w:rsidRDefault="005D5BD1" w:rsidP="005D5BD1">
                  <w:pPr>
                    <w:rPr>
                      <w:rFonts w:cs="Arial"/>
                    </w:rPr>
                  </w:pPr>
                </w:p>
              </w:tc>
              <w:tc>
                <w:tcPr>
                  <w:tcW w:w="1021" w:type="pct"/>
                </w:tcPr>
                <w:p w14:paraId="33F87407" w14:textId="77777777" w:rsidR="005D5BD1" w:rsidRPr="00CB0B17" w:rsidRDefault="005D5BD1" w:rsidP="005D5BD1">
                  <w:pPr>
                    <w:rPr>
                      <w:rFonts w:cs="Arial"/>
                    </w:rPr>
                  </w:pPr>
                </w:p>
              </w:tc>
            </w:tr>
          </w:tbl>
          <w:p w14:paraId="3689BFB0" w14:textId="77777777" w:rsidR="005D5BD1" w:rsidRPr="009349D7" w:rsidRDefault="005D5BD1" w:rsidP="005D5BD1">
            <w:pPr>
              <w:rPr>
                <w:rFonts w:cs="Arial"/>
                <w:b/>
                <w:szCs w:val="24"/>
              </w:rPr>
            </w:pPr>
          </w:p>
          <w:p w14:paraId="33C1ABC1" w14:textId="1821AEB8" w:rsidR="005D5BD1" w:rsidRPr="0029610F" w:rsidRDefault="005D5BD1" w:rsidP="005D5BD1">
            <w:pPr>
              <w:rPr>
                <w:b/>
                <w:bCs/>
              </w:rPr>
            </w:pPr>
            <w:r w:rsidRPr="0029610F">
              <w:rPr>
                <w:b/>
                <w:bCs/>
              </w:rPr>
              <w:t>Commentary:</w:t>
            </w:r>
          </w:p>
          <w:p w14:paraId="4C21FCF8" w14:textId="5FE6C934" w:rsidR="005D5BD1" w:rsidRPr="009349D7" w:rsidRDefault="005D5BD1" w:rsidP="005D5BD1">
            <w:pPr>
              <w:rPr>
                <w:rFonts w:cs="Arial"/>
                <w:b/>
                <w:szCs w:val="24"/>
              </w:rPr>
            </w:pPr>
          </w:p>
        </w:tc>
      </w:tr>
      <w:tr w:rsidR="005D5BD1" w:rsidRPr="00077B16" w14:paraId="0B06E3F0" w14:textId="77777777" w:rsidTr="005D5BD1">
        <w:trPr>
          <w:trHeight w:val="469"/>
        </w:trPr>
        <w:tc>
          <w:tcPr>
            <w:tcW w:w="1737" w:type="dxa"/>
          </w:tcPr>
          <w:p w14:paraId="4CAABCEC" w14:textId="77777777" w:rsidR="005D5BD1" w:rsidRPr="009349D7" w:rsidRDefault="005D5BD1" w:rsidP="005D5BD1">
            <w:pPr>
              <w:pStyle w:val="Rowheading"/>
            </w:pPr>
            <w:r w:rsidRPr="009349D7">
              <w:lastRenderedPageBreak/>
              <w:t>Conclusion</w:t>
            </w:r>
          </w:p>
        </w:tc>
        <w:tc>
          <w:tcPr>
            <w:tcW w:w="7891" w:type="dxa"/>
          </w:tcPr>
          <w:p w14:paraId="54F6617D" w14:textId="2A569065" w:rsidR="005D5BD1" w:rsidRPr="009349D7" w:rsidRDefault="005D5BD1" w:rsidP="005D5BD1">
            <w:pPr>
              <w:pStyle w:val="Bodytextredfont"/>
            </w:pPr>
            <w:r w:rsidRPr="009349D7">
              <w:t>(To be completed by the author)</w:t>
            </w:r>
          </w:p>
        </w:tc>
      </w:tr>
      <w:tr w:rsidR="005D5BD1" w:rsidRPr="00077B16" w14:paraId="5BF6DC79" w14:textId="77777777" w:rsidTr="005D5BD1">
        <w:trPr>
          <w:trHeight w:val="1080"/>
        </w:trPr>
        <w:tc>
          <w:tcPr>
            <w:tcW w:w="1737" w:type="dxa"/>
          </w:tcPr>
          <w:p w14:paraId="6ED49695" w14:textId="3507E53F" w:rsidR="005D5BD1" w:rsidRPr="009349D7" w:rsidRDefault="005D5BD1" w:rsidP="005D5BD1">
            <w:pPr>
              <w:pStyle w:val="Rowheading"/>
            </w:pPr>
            <w:r w:rsidRPr="009349D7">
              <w:t>Recommend-</w:t>
            </w:r>
            <w:r w:rsidRPr="009349D7">
              <w:br/>
            </w:r>
            <w:proofErr w:type="spellStart"/>
            <w:r w:rsidRPr="009349D7">
              <w:t>ations</w:t>
            </w:r>
            <w:proofErr w:type="spellEnd"/>
            <w:r w:rsidRPr="009349D7">
              <w:t xml:space="preserve"> for improvement</w:t>
            </w:r>
          </w:p>
        </w:tc>
        <w:tc>
          <w:tcPr>
            <w:tcW w:w="7891" w:type="dxa"/>
          </w:tcPr>
          <w:p w14:paraId="1C0DE42A" w14:textId="0F46C04B" w:rsidR="005D5BD1" w:rsidRPr="009349D7" w:rsidRDefault="005D5BD1" w:rsidP="005D5BD1">
            <w:r w:rsidRPr="009349D7">
              <w:t>Present the result with recommendations, actions and responsibilities for action and a timescale for implementation. Assign a person(s) responsible to do the work within a timeframe.</w:t>
            </w:r>
          </w:p>
        </w:tc>
      </w:tr>
      <w:tr w:rsidR="005D5BD1" w:rsidRPr="00077B16" w14:paraId="3AB83BB0" w14:textId="77777777" w:rsidTr="005D5BD1">
        <w:trPr>
          <w:trHeight w:val="58"/>
        </w:trPr>
        <w:tc>
          <w:tcPr>
            <w:tcW w:w="1737" w:type="dxa"/>
          </w:tcPr>
          <w:p w14:paraId="7B1DBC85" w14:textId="1FF56588" w:rsidR="005D5BD1" w:rsidRPr="009349D7" w:rsidRDefault="005D5BD1" w:rsidP="005D5BD1">
            <w:pPr>
              <w:pStyle w:val="Rowheading"/>
            </w:pPr>
            <w:r w:rsidRPr="009349D7">
              <w:t>Action plan</w:t>
            </w:r>
          </w:p>
        </w:tc>
        <w:tc>
          <w:tcPr>
            <w:tcW w:w="7891" w:type="dxa"/>
          </w:tcPr>
          <w:p w14:paraId="3ED634E6" w14:textId="3A02274B" w:rsidR="005D5BD1" w:rsidRPr="009349D7" w:rsidRDefault="005D5BD1" w:rsidP="005D5BD1">
            <w:pPr>
              <w:pStyle w:val="Bodytextredfont"/>
            </w:pPr>
            <w:r w:rsidRPr="009349D7">
              <w:t>(To be completed by the author – see attached action plan proforma)</w:t>
            </w:r>
          </w:p>
        </w:tc>
      </w:tr>
      <w:tr w:rsidR="005D5BD1" w:rsidRPr="00077B16" w14:paraId="2456F3A2" w14:textId="77777777" w:rsidTr="005D5BD1">
        <w:trPr>
          <w:trHeight w:val="58"/>
        </w:trPr>
        <w:tc>
          <w:tcPr>
            <w:tcW w:w="1737" w:type="dxa"/>
          </w:tcPr>
          <w:p w14:paraId="2874F728" w14:textId="77777777" w:rsidR="005D5BD1" w:rsidRPr="009349D7" w:rsidRDefault="005D5BD1" w:rsidP="005D5BD1">
            <w:pPr>
              <w:pStyle w:val="Rowheading"/>
            </w:pPr>
            <w:r w:rsidRPr="009349D7">
              <w:t>Re-audit date</w:t>
            </w:r>
          </w:p>
        </w:tc>
        <w:tc>
          <w:tcPr>
            <w:tcW w:w="7891" w:type="dxa"/>
          </w:tcPr>
          <w:p w14:paraId="2A3A9445" w14:textId="77777777" w:rsidR="005D5BD1" w:rsidRPr="009349D7" w:rsidRDefault="005D5BD1" w:rsidP="005D5BD1">
            <w:pPr>
              <w:pStyle w:val="Bodytextredfont"/>
            </w:pPr>
            <w:r w:rsidRPr="009349D7">
              <w:t>(To be completed by the author)</w:t>
            </w:r>
          </w:p>
        </w:tc>
      </w:tr>
      <w:tr w:rsidR="005D5BD1" w:rsidRPr="00077B16" w14:paraId="7E5BF0AE" w14:textId="77777777" w:rsidTr="005D5BD1">
        <w:trPr>
          <w:trHeight w:val="469"/>
        </w:trPr>
        <w:tc>
          <w:tcPr>
            <w:tcW w:w="1737" w:type="dxa"/>
          </w:tcPr>
          <w:p w14:paraId="6DDCB30D" w14:textId="4FB705CA" w:rsidR="005D5BD1" w:rsidRPr="009349D7" w:rsidRDefault="005D5BD1" w:rsidP="005D5BD1">
            <w:pPr>
              <w:pStyle w:val="Rowheading"/>
            </w:pPr>
            <w:r w:rsidRPr="009349D7">
              <w:t>References</w:t>
            </w:r>
          </w:p>
          <w:p w14:paraId="36CD5C27" w14:textId="16D11343" w:rsidR="005D5BD1" w:rsidRPr="009349D7" w:rsidRDefault="005D5BD1" w:rsidP="005D5BD1">
            <w:pPr>
              <w:pStyle w:val="Rowheading"/>
            </w:pPr>
          </w:p>
        </w:tc>
        <w:tc>
          <w:tcPr>
            <w:tcW w:w="7891" w:type="dxa"/>
          </w:tcPr>
          <w:p w14:paraId="7F5516E3" w14:textId="430AFDAF" w:rsidR="005D5BD1" w:rsidRPr="00876760" w:rsidRDefault="005D5BD1" w:rsidP="005D5BD1">
            <w:pPr>
              <w:pStyle w:val="Numberedlist"/>
              <w:numPr>
                <w:ilvl w:val="0"/>
                <w:numId w:val="34"/>
              </w:numPr>
              <w:ind w:left="425" w:hanging="425"/>
            </w:pPr>
            <w:r>
              <w:rPr>
                <w:rFonts w:cs="Times New Roman"/>
                <w:bCs/>
              </w:rPr>
              <w:fldChar w:fldCharType="begin"/>
            </w:r>
            <w:r>
              <w:rPr>
                <w:bCs/>
              </w:rPr>
              <w:instrText xml:space="preserve"> ADDIN EN.REFLIST </w:instrText>
            </w:r>
            <w:r>
              <w:rPr>
                <w:rFonts w:cs="Times New Roman"/>
                <w:bCs/>
              </w:rPr>
              <w:fldChar w:fldCharType="separate"/>
            </w:r>
            <w:r w:rsidRPr="00D60A96">
              <w:rPr>
                <w:noProof/>
              </w:rPr>
              <w:t>Lester W, Bent C, Alikhan R, Roberts L, Gordon-Walker T, Trenfield S</w:t>
            </w:r>
            <w:r w:rsidRPr="00D60A96">
              <w:rPr>
                <w:i/>
                <w:noProof/>
              </w:rPr>
              <w:t xml:space="preserve"> et al.</w:t>
            </w:r>
            <w:r w:rsidRPr="00D60A96">
              <w:rPr>
                <w:noProof/>
              </w:rPr>
              <w:t xml:space="preserve"> A British Society for Haematology guideline on the assessment and management of bleeding risk prior to invasive procedures. </w:t>
            </w:r>
            <w:r w:rsidRPr="00D60A96">
              <w:rPr>
                <w:i/>
                <w:noProof/>
              </w:rPr>
              <w:t>Br J Haematol</w:t>
            </w:r>
            <w:r w:rsidRPr="00D60A96">
              <w:rPr>
                <w:noProof/>
              </w:rPr>
              <w:t xml:space="preserve"> 2024;204:1697–1713.</w:t>
            </w:r>
            <w:r>
              <w:rPr>
                <w:bCs/>
              </w:rPr>
              <w:fldChar w:fldCharType="end"/>
            </w:r>
          </w:p>
        </w:tc>
      </w:tr>
    </w:tbl>
    <w:p w14:paraId="282D4AE8" w14:textId="77777777" w:rsidR="00860AF9" w:rsidRPr="00077B16" w:rsidRDefault="00860AF9">
      <w:pPr>
        <w:rPr>
          <w:rFonts w:cs="Arial"/>
          <w:bCs/>
        </w:rPr>
      </w:pPr>
    </w:p>
    <w:p w14:paraId="3DBDFA0A" w14:textId="45473C29"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1C7BEE" w:rsidRPr="002B6F25">
        <w:t>the assessment and management of bleeding risk prior to invasive procedures</w:t>
      </w:r>
    </w:p>
    <w:p w14:paraId="3C2E1AFD" w14:textId="4FF20059" w:rsidR="00253E1A" w:rsidRPr="009349D7" w:rsidRDefault="009929C5" w:rsidP="001F037A">
      <w:pPr>
        <w:pStyle w:val="Heading2"/>
      </w:pPr>
      <w:r w:rsidRPr="009349D7">
        <w:t xml:space="preserve">Audit reviewing </w:t>
      </w:r>
      <w:r w:rsidR="001C7BEE" w:rsidRPr="002B6F25">
        <w:t>practice</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4030B05B" w14:textId="175B2FE9" w:rsidR="00603ECE" w:rsidRPr="001F037A" w:rsidRDefault="00BF12ED" w:rsidP="001C7BEE">
      <w:r w:rsidRPr="009349D7">
        <w:t xml:space="preserve">Date of birth: </w:t>
      </w:r>
      <w:r w:rsidRPr="009349D7">
        <w:tab/>
      </w:r>
      <w:r w:rsidRPr="009349D7">
        <w:tab/>
      </w:r>
      <w:r w:rsidRPr="009349D7">
        <w:tab/>
      </w:r>
      <w:r w:rsidR="0051663B" w:rsidRPr="009349D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1196"/>
        <w:gridCol w:w="1273"/>
        <w:gridCol w:w="2119"/>
        <w:gridCol w:w="2290"/>
      </w:tblGrid>
      <w:tr w:rsidR="001C7BEE" w:rsidRPr="00077B16" w14:paraId="096252DE" w14:textId="77777777" w:rsidTr="0006340B">
        <w:trPr>
          <w:trHeight w:val="20"/>
        </w:trPr>
        <w:tc>
          <w:tcPr>
            <w:tcW w:w="2817" w:type="dxa"/>
            <w:tcBorders>
              <w:bottom w:val="single" w:sz="4" w:space="0" w:color="auto"/>
            </w:tcBorders>
          </w:tcPr>
          <w:p w14:paraId="2FE1C4FF" w14:textId="64558F47" w:rsidR="001C7BEE" w:rsidRPr="004B408C" w:rsidRDefault="001C7BEE" w:rsidP="001C7BEE">
            <w:pPr>
              <w:pStyle w:val="Tabletext"/>
              <w:rPr>
                <w:rFonts w:eastAsia="Times New Roman" w:cs="Arial"/>
                <w:b/>
                <w:bCs/>
                <w:sz w:val="26"/>
                <w:szCs w:val="26"/>
              </w:rPr>
            </w:pPr>
            <w:r w:rsidRPr="004B408C">
              <w:rPr>
                <w:rFonts w:eastAsia="Times New Roman" w:cs="Arial"/>
                <w:b/>
                <w:bCs/>
                <w:sz w:val="26"/>
                <w:szCs w:val="26"/>
              </w:rPr>
              <w:t>Standard</w:t>
            </w:r>
          </w:p>
        </w:tc>
        <w:tc>
          <w:tcPr>
            <w:tcW w:w="1244" w:type="dxa"/>
            <w:tcBorders>
              <w:bottom w:val="single" w:sz="4" w:space="0" w:color="auto"/>
            </w:tcBorders>
          </w:tcPr>
          <w:p w14:paraId="1666A1CA" w14:textId="77777777" w:rsidR="001C7BEE" w:rsidRPr="004B408C" w:rsidRDefault="001C7BEE" w:rsidP="001C7BEE">
            <w:pPr>
              <w:keepNext/>
              <w:keepLines/>
              <w:spacing w:before="100" w:after="100"/>
              <w:rPr>
                <w:rFonts w:cs="Arial"/>
                <w:b/>
                <w:bCs/>
              </w:rPr>
            </w:pPr>
            <w:r w:rsidRPr="004B408C">
              <w:rPr>
                <w:rFonts w:cs="Arial"/>
                <w:b/>
                <w:bCs/>
              </w:rPr>
              <w:t>1</w:t>
            </w:r>
          </w:p>
          <w:p w14:paraId="4BAF7515" w14:textId="7A596F90" w:rsidR="001C7BEE" w:rsidRPr="00781C28" w:rsidRDefault="001C7BEE" w:rsidP="001C7BEE">
            <w:pPr>
              <w:pStyle w:val="Tabletext"/>
            </w:pPr>
            <w:r w:rsidRPr="004B408C">
              <w:rPr>
                <w:rFonts w:cs="Arial"/>
                <w:b/>
              </w:rPr>
              <w:t xml:space="preserve">Yes </w:t>
            </w:r>
          </w:p>
        </w:tc>
        <w:tc>
          <w:tcPr>
            <w:tcW w:w="1337" w:type="dxa"/>
            <w:tcBorders>
              <w:bottom w:val="single" w:sz="4" w:space="0" w:color="auto"/>
            </w:tcBorders>
          </w:tcPr>
          <w:p w14:paraId="7E1EC3F0" w14:textId="77777777" w:rsidR="001C7BEE" w:rsidRPr="004B408C" w:rsidRDefault="001C7BEE" w:rsidP="001C7BEE">
            <w:pPr>
              <w:keepNext/>
              <w:keepLines/>
              <w:spacing w:before="100" w:after="100"/>
              <w:rPr>
                <w:rFonts w:cs="Arial"/>
                <w:b/>
                <w:bCs/>
              </w:rPr>
            </w:pPr>
            <w:r w:rsidRPr="004B408C">
              <w:rPr>
                <w:rFonts w:cs="Arial"/>
                <w:b/>
                <w:bCs/>
              </w:rPr>
              <w:t>2</w:t>
            </w:r>
          </w:p>
          <w:p w14:paraId="0FFDB801" w14:textId="7D4FD79A" w:rsidR="001C7BEE" w:rsidRPr="00781C28" w:rsidRDefault="001C7BEE" w:rsidP="001C7BEE">
            <w:pPr>
              <w:pStyle w:val="Tabletext"/>
            </w:pPr>
            <w:r w:rsidRPr="004B408C">
              <w:rPr>
                <w:rFonts w:cs="Arial"/>
                <w:b/>
              </w:rPr>
              <w:t>No</w:t>
            </w:r>
          </w:p>
        </w:tc>
        <w:tc>
          <w:tcPr>
            <w:tcW w:w="2121" w:type="dxa"/>
            <w:tcBorders>
              <w:bottom w:val="single" w:sz="4" w:space="0" w:color="auto"/>
            </w:tcBorders>
          </w:tcPr>
          <w:p w14:paraId="7D8E7D1C" w14:textId="11540DC3" w:rsidR="001C7BEE" w:rsidRPr="00781C28" w:rsidRDefault="001C7BEE" w:rsidP="001C7BEE">
            <w:pPr>
              <w:pStyle w:val="Tabletext"/>
              <w:ind w:left="308" w:hanging="308"/>
            </w:pPr>
            <w:r w:rsidRPr="004B408C">
              <w:rPr>
                <w:rFonts w:cs="Arial"/>
                <w:b/>
                <w:bCs/>
              </w:rPr>
              <w:t>3</w:t>
            </w:r>
            <w:r w:rsidRPr="004B408C">
              <w:rPr>
                <w:rFonts w:cs="Arial"/>
                <w:b/>
                <w:bCs/>
              </w:rPr>
              <w:tab/>
            </w:r>
            <w:r w:rsidRPr="004B408C">
              <w:rPr>
                <w:rFonts w:cs="Arial"/>
              </w:rPr>
              <w:t>If shaded box not ticked, was there documentation to explain the variance?</w:t>
            </w:r>
            <w:r w:rsidRPr="004B408C">
              <w:rPr>
                <w:rFonts w:cs="Arial"/>
              </w:rPr>
              <w:br/>
            </w:r>
            <w:r w:rsidRPr="004B408C">
              <w:rPr>
                <w:rFonts w:cs="Arial"/>
                <w:b/>
              </w:rPr>
              <w:t>Yes/No</w:t>
            </w:r>
            <w:r w:rsidRPr="004B408C">
              <w:rPr>
                <w:rFonts w:cs="Arial"/>
              </w:rPr>
              <w:t xml:space="preserve"> plus free-text comment</w:t>
            </w:r>
          </w:p>
        </w:tc>
        <w:tc>
          <w:tcPr>
            <w:tcW w:w="2335" w:type="dxa"/>
            <w:tcBorders>
              <w:bottom w:val="single" w:sz="4" w:space="0" w:color="auto"/>
            </w:tcBorders>
          </w:tcPr>
          <w:p w14:paraId="5E62A50A" w14:textId="0D2F6EE5" w:rsidR="001C7BEE" w:rsidRPr="00781C28" w:rsidRDefault="001C7BEE" w:rsidP="001C7BEE">
            <w:pPr>
              <w:pStyle w:val="Tabletext"/>
              <w:ind w:left="304" w:hanging="304"/>
              <w:rPr>
                <w:bCs/>
              </w:rPr>
            </w:pPr>
            <w:r w:rsidRPr="004B408C">
              <w:rPr>
                <w:rFonts w:cs="Arial"/>
                <w:b/>
                <w:bCs/>
              </w:rPr>
              <w:t>4</w:t>
            </w:r>
            <w:r w:rsidRPr="004B408C">
              <w:rPr>
                <w:rFonts w:cs="Arial"/>
                <w:b/>
                <w:bCs/>
              </w:rPr>
              <w:tab/>
            </w:r>
            <w:r w:rsidRPr="004B408C">
              <w:rPr>
                <w:rFonts w:cs="Arial"/>
              </w:rPr>
              <w:t xml:space="preserve">Compliant with guideline if shaded box ticked or an appropriate explanation from column 3. </w:t>
            </w:r>
            <w:r w:rsidRPr="004B408C">
              <w:rPr>
                <w:rFonts w:cs="Arial"/>
                <w:b/>
              </w:rPr>
              <w:t>Yes/No</w:t>
            </w:r>
            <w:r w:rsidRPr="004B408C">
              <w:rPr>
                <w:rFonts w:cs="Arial"/>
                <w:b/>
              </w:rPr>
              <w:br/>
            </w:r>
            <w:r w:rsidRPr="004B408C">
              <w:rPr>
                <w:rFonts w:cs="Arial"/>
              </w:rPr>
              <w:t>(Record if standard not applicable)</w:t>
            </w:r>
          </w:p>
        </w:tc>
      </w:tr>
      <w:tr w:rsidR="0006340B" w:rsidRPr="00077B16" w14:paraId="68DFAF5C" w14:textId="77777777" w:rsidTr="0006340B">
        <w:trPr>
          <w:trHeight w:val="20"/>
        </w:trPr>
        <w:tc>
          <w:tcPr>
            <w:tcW w:w="9854" w:type="dxa"/>
            <w:gridSpan w:val="5"/>
            <w:tcBorders>
              <w:top w:val="single" w:sz="4" w:space="0" w:color="auto"/>
              <w:left w:val="single" w:sz="4" w:space="0" w:color="auto"/>
              <w:bottom w:val="single" w:sz="4" w:space="0" w:color="auto"/>
              <w:right w:val="single" w:sz="4" w:space="0" w:color="auto"/>
            </w:tcBorders>
          </w:tcPr>
          <w:p w14:paraId="4007088C" w14:textId="03E3D5A2" w:rsidR="0006340B" w:rsidRPr="00077B16" w:rsidRDefault="0006340B" w:rsidP="001C7BEE">
            <w:pPr>
              <w:pStyle w:val="Tabletext"/>
              <w:rPr>
                <w:b/>
                <w:bCs/>
              </w:rPr>
            </w:pPr>
            <w:r>
              <w:rPr>
                <w:rFonts w:cs="Arial"/>
                <w:b/>
                <w:bCs/>
              </w:rPr>
              <w:t>Recommendations</w:t>
            </w:r>
          </w:p>
        </w:tc>
      </w:tr>
      <w:tr w:rsidR="001C7BEE" w:rsidRPr="00077B16" w14:paraId="281C1E04"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770BE2C4" w14:textId="3429990B" w:rsidR="001C7BEE" w:rsidRPr="00077B16" w:rsidRDefault="001C7BEE" w:rsidP="001C7BEE">
            <w:pPr>
              <w:pStyle w:val="Tabletext"/>
              <w:rPr>
                <w:color w:val="FF0000"/>
              </w:rPr>
            </w:pPr>
            <w:proofErr w:type="gramStart"/>
            <w:r w:rsidRPr="005837CC">
              <w:rPr>
                <w:rFonts w:eastAsia="Times New Roman" w:cs="Arial"/>
                <w:b/>
                <w:lang w:eastAsia="en-GB"/>
              </w:rPr>
              <w:t>1</w:t>
            </w:r>
            <w:r>
              <w:rPr>
                <w:rFonts w:eastAsia="Times New Roman" w:cs="Arial"/>
                <w:b/>
                <w:lang w:eastAsia="en-GB"/>
              </w:rPr>
              <w:t xml:space="preserve"> </w:t>
            </w:r>
            <w:r>
              <w:rPr>
                <w:rFonts w:eastAsia="Times New Roman" w:cs="Arial"/>
                <w:bCs/>
                <w:lang w:eastAsia="en-GB"/>
              </w:rPr>
              <w:t xml:space="preserve"> </w:t>
            </w:r>
            <w:r w:rsidRPr="00595AD8">
              <w:rPr>
                <w:rFonts w:eastAsia="Times New Roman" w:cs="Arial"/>
                <w:bCs/>
                <w:lang w:eastAsia="en-GB"/>
              </w:rPr>
              <w:t>Routine</w:t>
            </w:r>
            <w:proofErr w:type="gramEnd"/>
            <w:r w:rsidRPr="00595AD8">
              <w:rPr>
                <w:rFonts w:eastAsia="Times New Roman" w:cs="Arial"/>
                <w:bCs/>
                <w:lang w:eastAsia="en-GB"/>
              </w:rPr>
              <w:t xml:space="preserve"> coagulation screening not performed prior to a procedure (</w:t>
            </w:r>
            <w:r w:rsidR="00CA3D4F">
              <w:rPr>
                <w:rFonts w:eastAsia="Times New Roman" w:cs="Arial"/>
                <w:bCs/>
                <w:lang w:eastAsia="en-GB"/>
              </w:rPr>
              <w:t>t</w:t>
            </w:r>
            <w:r w:rsidR="00CA3D4F" w:rsidRPr="00595AD8">
              <w:rPr>
                <w:rFonts w:eastAsia="Times New Roman" w:cs="Arial"/>
                <w:bCs/>
                <w:lang w:eastAsia="en-GB"/>
              </w:rPr>
              <w:t xml:space="preserve">arget </w:t>
            </w:r>
            <w:r w:rsidRPr="00595AD8">
              <w:rPr>
                <w:rFonts w:eastAsia="Times New Roman" w:cs="Arial"/>
                <w:bCs/>
                <w:lang w:eastAsia="en-GB"/>
              </w:rPr>
              <w:t>% compliance: 0%)</w:t>
            </w:r>
          </w:p>
        </w:tc>
        <w:tc>
          <w:tcPr>
            <w:tcW w:w="1244" w:type="dxa"/>
            <w:tcBorders>
              <w:top w:val="single" w:sz="4" w:space="0" w:color="auto"/>
              <w:left w:val="single" w:sz="4" w:space="0" w:color="auto"/>
              <w:bottom w:val="single" w:sz="4" w:space="0" w:color="auto"/>
              <w:right w:val="single" w:sz="4" w:space="0" w:color="auto"/>
            </w:tcBorders>
          </w:tcPr>
          <w:p w14:paraId="77673BE0"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E70FF01"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1C7BEE" w:rsidRPr="00077B16" w:rsidRDefault="001C7BEE" w:rsidP="001C7BEE">
            <w:pPr>
              <w:pStyle w:val="Tabletext"/>
              <w:rPr>
                <w:b/>
                <w:bCs/>
              </w:rPr>
            </w:pPr>
          </w:p>
        </w:tc>
      </w:tr>
      <w:tr w:rsidR="001C7BEE" w:rsidRPr="00077B16" w14:paraId="3CB1828E"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2CD63AFC" w14:textId="3AE11BBB" w:rsidR="001C7BEE" w:rsidRPr="00077B16" w:rsidRDefault="001C7BEE" w:rsidP="001C7BEE">
            <w:pPr>
              <w:pStyle w:val="Tabletext"/>
              <w:rPr>
                <w:b/>
                <w:bCs/>
              </w:rPr>
            </w:pPr>
            <w:proofErr w:type="gramStart"/>
            <w:r w:rsidRPr="005837CC">
              <w:rPr>
                <w:rFonts w:cs="Arial"/>
                <w:b/>
                <w:bCs/>
                <w:color w:val="000000"/>
              </w:rPr>
              <w:t>2</w:t>
            </w:r>
            <w:r>
              <w:rPr>
                <w:rFonts w:cs="Arial"/>
                <w:b/>
                <w:bCs/>
                <w:color w:val="000000"/>
              </w:rPr>
              <w:t xml:space="preserve">  </w:t>
            </w:r>
            <w:r w:rsidRPr="00595AD8">
              <w:rPr>
                <w:rFonts w:cs="Arial"/>
                <w:color w:val="000000"/>
              </w:rPr>
              <w:t>The</w:t>
            </w:r>
            <w:proofErr w:type="gramEnd"/>
            <w:r w:rsidRPr="00595AD8">
              <w:rPr>
                <w:rFonts w:cs="Arial"/>
                <w:color w:val="000000"/>
              </w:rPr>
              <w:t xml:space="preserve"> routine use of global haemostatic or platelet function testing to assess bleeding risk was performed prior to a procedure (</w:t>
            </w:r>
            <w:r w:rsidR="00CA3D4F">
              <w:rPr>
                <w:rFonts w:cs="Arial"/>
                <w:color w:val="000000"/>
              </w:rPr>
              <w:t>t</w:t>
            </w:r>
            <w:r w:rsidR="00CA3D4F" w:rsidRPr="00595AD8">
              <w:rPr>
                <w:rFonts w:cs="Arial"/>
                <w:color w:val="000000"/>
              </w:rPr>
              <w:t xml:space="preserve">arget </w:t>
            </w:r>
            <w:r w:rsidRPr="00595AD8">
              <w:rPr>
                <w:rFonts w:cs="Arial"/>
                <w:color w:val="000000"/>
              </w:rPr>
              <w:t>% compliance:</w:t>
            </w:r>
            <w:r>
              <w:rPr>
                <w:rFonts w:cs="Arial"/>
                <w:color w:val="000000"/>
              </w:rPr>
              <w:t> </w:t>
            </w:r>
            <w:r w:rsidRPr="00595AD8">
              <w:rPr>
                <w:rFonts w:cs="Arial"/>
                <w:color w:val="000000"/>
              </w:rPr>
              <w:t>0%)</w:t>
            </w:r>
          </w:p>
        </w:tc>
        <w:tc>
          <w:tcPr>
            <w:tcW w:w="1244" w:type="dxa"/>
            <w:tcBorders>
              <w:top w:val="single" w:sz="4" w:space="0" w:color="auto"/>
              <w:left w:val="single" w:sz="4" w:space="0" w:color="auto"/>
              <w:bottom w:val="single" w:sz="4" w:space="0" w:color="auto"/>
              <w:right w:val="single" w:sz="4" w:space="0" w:color="auto"/>
            </w:tcBorders>
          </w:tcPr>
          <w:p w14:paraId="0DDC5FBA"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A511944"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4433678"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18D8198" w14:textId="77777777" w:rsidR="001C7BEE" w:rsidRPr="00077B16" w:rsidRDefault="001C7BEE" w:rsidP="001C7BEE">
            <w:pPr>
              <w:pStyle w:val="Tabletext"/>
              <w:rPr>
                <w:b/>
                <w:bCs/>
              </w:rPr>
            </w:pPr>
          </w:p>
        </w:tc>
      </w:tr>
      <w:tr w:rsidR="001C7BEE" w:rsidRPr="00077B16" w14:paraId="0251DA41"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13A07E03" w14:textId="51FC2A86" w:rsidR="001C7BEE" w:rsidRPr="00077B16" w:rsidRDefault="001C7BEE" w:rsidP="001C7BEE">
            <w:pPr>
              <w:pStyle w:val="Tabletext"/>
            </w:pPr>
            <w:r w:rsidRPr="005837CC">
              <w:rPr>
                <w:rFonts w:cs="Arial"/>
                <w:b/>
                <w:bCs/>
                <w:color w:val="000000"/>
              </w:rPr>
              <w:t>3</w:t>
            </w:r>
            <w:r>
              <w:rPr>
                <w:rFonts w:cs="Arial"/>
                <w:b/>
                <w:bCs/>
                <w:color w:val="000000"/>
              </w:rPr>
              <w:t xml:space="preserve"> </w:t>
            </w:r>
            <w:r>
              <w:rPr>
                <w:rFonts w:cs="Arial"/>
                <w:color w:val="000000"/>
              </w:rPr>
              <w:t xml:space="preserve"> </w:t>
            </w:r>
            <w:r w:rsidRPr="00595AD8">
              <w:rPr>
                <w:rFonts w:cs="Arial"/>
                <w:color w:val="000000"/>
              </w:rPr>
              <w:t>HEMSTOP was completed prior to elective procedures associated with a risk of bleeding</w:t>
            </w:r>
          </w:p>
        </w:tc>
        <w:tc>
          <w:tcPr>
            <w:tcW w:w="1244" w:type="dxa"/>
            <w:tcBorders>
              <w:top w:val="single" w:sz="4" w:space="0" w:color="auto"/>
              <w:left w:val="single" w:sz="4" w:space="0" w:color="auto"/>
              <w:bottom w:val="single" w:sz="4" w:space="0" w:color="auto"/>
              <w:right w:val="single" w:sz="4" w:space="0" w:color="auto"/>
            </w:tcBorders>
          </w:tcPr>
          <w:p w14:paraId="37F36B17"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0603610"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1C7BEE" w:rsidRPr="00077B16" w:rsidRDefault="001C7BEE" w:rsidP="001C7BEE">
            <w:pPr>
              <w:pStyle w:val="Tabletext"/>
              <w:rPr>
                <w:b/>
                <w:bCs/>
              </w:rPr>
            </w:pPr>
          </w:p>
        </w:tc>
      </w:tr>
      <w:tr w:rsidR="001C7BEE" w:rsidRPr="00077B16" w14:paraId="7CE77257"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07E731D4" w14:textId="51F83C82" w:rsidR="001C7BEE" w:rsidRPr="00077B16" w:rsidRDefault="001C7BEE" w:rsidP="001C7BEE">
            <w:pPr>
              <w:pStyle w:val="Tabletext"/>
            </w:pPr>
            <w:r>
              <w:rPr>
                <w:rFonts w:cs="Arial"/>
                <w:b/>
                <w:bCs/>
                <w:color w:val="000000"/>
              </w:rPr>
              <w:t xml:space="preserve">4 </w:t>
            </w:r>
            <w:r>
              <w:rPr>
                <w:rFonts w:cs="Arial"/>
                <w:color w:val="000000"/>
              </w:rPr>
              <w:t xml:space="preserve"> </w:t>
            </w:r>
            <w:r w:rsidRPr="00C37654">
              <w:rPr>
                <w:rFonts w:cs="Arial"/>
                <w:color w:val="000000"/>
              </w:rPr>
              <w:t xml:space="preserve">If the bleeding history </w:t>
            </w:r>
            <w:r>
              <w:rPr>
                <w:rFonts w:cs="Arial"/>
                <w:color w:val="000000"/>
              </w:rPr>
              <w:t>was</w:t>
            </w:r>
            <w:r w:rsidRPr="00C37654">
              <w:rPr>
                <w:rFonts w:cs="Arial"/>
                <w:color w:val="000000"/>
              </w:rPr>
              <w:t xml:space="preserve"> positive, referral to a haematologist </w:t>
            </w:r>
            <w:r>
              <w:rPr>
                <w:rFonts w:cs="Arial"/>
                <w:color w:val="000000"/>
              </w:rPr>
              <w:t>was</w:t>
            </w:r>
            <w:r w:rsidRPr="00C37654">
              <w:rPr>
                <w:rFonts w:cs="Arial"/>
                <w:color w:val="000000"/>
              </w:rPr>
              <w:t xml:space="preserve"> </w:t>
            </w:r>
            <w:r w:rsidRPr="00C37654">
              <w:rPr>
                <w:rFonts w:cs="Arial"/>
                <w:color w:val="000000"/>
              </w:rPr>
              <w:lastRenderedPageBreak/>
              <w:t>considered for further advice</w:t>
            </w:r>
          </w:p>
        </w:tc>
        <w:tc>
          <w:tcPr>
            <w:tcW w:w="1244" w:type="dxa"/>
            <w:tcBorders>
              <w:top w:val="single" w:sz="4" w:space="0" w:color="auto"/>
              <w:left w:val="single" w:sz="4" w:space="0" w:color="auto"/>
              <w:bottom w:val="single" w:sz="4" w:space="0" w:color="auto"/>
              <w:right w:val="single" w:sz="4" w:space="0" w:color="auto"/>
            </w:tcBorders>
          </w:tcPr>
          <w:p w14:paraId="2C254730"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D28CA37"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1C7BEE" w:rsidRPr="00077B16" w:rsidRDefault="001C7BEE" w:rsidP="001C7BEE">
            <w:pPr>
              <w:pStyle w:val="Tabletext"/>
              <w:rPr>
                <w:b/>
                <w:bCs/>
              </w:rPr>
            </w:pPr>
          </w:p>
        </w:tc>
      </w:tr>
      <w:tr w:rsidR="001C7BEE" w:rsidRPr="00077B16" w14:paraId="339C338B"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517B4D88" w14:textId="3B361B4C" w:rsidR="001C7BEE" w:rsidRPr="00077B16" w:rsidRDefault="001C7BEE" w:rsidP="001C7BEE">
            <w:pPr>
              <w:pStyle w:val="Tabletext"/>
            </w:pPr>
            <w:r>
              <w:rPr>
                <w:rFonts w:cs="Arial"/>
                <w:b/>
                <w:bCs/>
                <w:color w:val="000000"/>
              </w:rPr>
              <w:t xml:space="preserve">5 </w:t>
            </w:r>
            <w:r>
              <w:rPr>
                <w:rFonts w:cs="Arial"/>
                <w:color w:val="000000"/>
              </w:rPr>
              <w:t xml:space="preserve"> </w:t>
            </w:r>
            <w:r w:rsidRPr="00C37654">
              <w:rPr>
                <w:rFonts w:cs="Arial"/>
                <w:color w:val="000000"/>
              </w:rPr>
              <w:t>In patients taking antiplatelet agents and/or anticoagulants who require</w:t>
            </w:r>
            <w:r>
              <w:rPr>
                <w:rFonts w:cs="Arial"/>
                <w:color w:val="000000"/>
              </w:rPr>
              <w:t>d</w:t>
            </w:r>
            <w:r w:rsidRPr="00C37654">
              <w:rPr>
                <w:rFonts w:cs="Arial"/>
                <w:color w:val="000000"/>
              </w:rPr>
              <w:t xml:space="preserve"> a procedure, the balance of risks between bleeding and thromboembolism </w:t>
            </w:r>
            <w:r>
              <w:rPr>
                <w:rFonts w:cs="Arial"/>
                <w:color w:val="000000"/>
              </w:rPr>
              <w:t>was</w:t>
            </w:r>
            <w:r w:rsidRPr="00C37654">
              <w:rPr>
                <w:rFonts w:cs="Arial"/>
                <w:color w:val="000000"/>
              </w:rPr>
              <w:t xml:space="preserve"> discussed</w:t>
            </w:r>
            <w:r>
              <w:rPr>
                <w:rFonts w:cs="Arial"/>
                <w:color w:val="000000"/>
              </w:rPr>
              <w:t xml:space="preserve"> during patient consent</w:t>
            </w:r>
          </w:p>
        </w:tc>
        <w:tc>
          <w:tcPr>
            <w:tcW w:w="1244" w:type="dxa"/>
            <w:tcBorders>
              <w:top w:val="single" w:sz="4" w:space="0" w:color="auto"/>
              <w:left w:val="single" w:sz="4" w:space="0" w:color="auto"/>
              <w:bottom w:val="single" w:sz="4" w:space="0" w:color="auto"/>
              <w:right w:val="single" w:sz="4" w:space="0" w:color="auto"/>
            </w:tcBorders>
          </w:tcPr>
          <w:p w14:paraId="4C7864F3"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1C58C0E"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1C7BEE" w:rsidRPr="00077B16" w:rsidRDefault="001C7BEE" w:rsidP="001C7BEE">
            <w:pPr>
              <w:pStyle w:val="Tabletext"/>
              <w:rPr>
                <w:b/>
                <w:bCs/>
              </w:rPr>
            </w:pPr>
          </w:p>
        </w:tc>
      </w:tr>
      <w:tr w:rsidR="001C7BEE" w:rsidRPr="00077B16" w14:paraId="5E79D2C8"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05A21A5D" w14:textId="25C204CF" w:rsidR="001C7BEE" w:rsidRPr="00077B16" w:rsidRDefault="001C7BEE" w:rsidP="001C7BEE">
            <w:pPr>
              <w:pStyle w:val="Tabletext"/>
            </w:pPr>
            <w:r w:rsidRPr="00AD3C63">
              <w:rPr>
                <w:rFonts w:cs="Arial"/>
                <w:b/>
                <w:bCs/>
                <w:color w:val="000000"/>
              </w:rPr>
              <w:t>6</w:t>
            </w:r>
            <w:r>
              <w:rPr>
                <w:rFonts w:cs="Arial"/>
                <w:b/>
                <w:bCs/>
                <w:color w:val="000000"/>
              </w:rPr>
              <w:t xml:space="preserve">  </w:t>
            </w:r>
            <w:r w:rsidRPr="00AD3C63">
              <w:rPr>
                <w:rFonts w:cs="Arial"/>
                <w:color w:val="000000"/>
              </w:rPr>
              <w:t>Patients who had interruption of antiplatelet</w:t>
            </w:r>
            <w:r>
              <w:rPr>
                <w:rFonts w:cs="Arial"/>
                <w:color w:val="000000"/>
              </w:rPr>
              <w:t>s</w:t>
            </w:r>
            <w:r w:rsidRPr="00AD3C63">
              <w:rPr>
                <w:rFonts w:cs="Arial"/>
                <w:color w:val="000000"/>
              </w:rPr>
              <w:t xml:space="preserve"> or anticoagulants did so for the recommended duration before procedures with a risk of bleeding</w:t>
            </w:r>
          </w:p>
        </w:tc>
        <w:tc>
          <w:tcPr>
            <w:tcW w:w="1244" w:type="dxa"/>
            <w:tcBorders>
              <w:top w:val="single" w:sz="4" w:space="0" w:color="auto"/>
              <w:left w:val="single" w:sz="4" w:space="0" w:color="auto"/>
              <w:bottom w:val="single" w:sz="4" w:space="0" w:color="auto"/>
              <w:right w:val="single" w:sz="4" w:space="0" w:color="auto"/>
            </w:tcBorders>
          </w:tcPr>
          <w:p w14:paraId="5713BCD7"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B406A4F"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1C7BEE" w:rsidRPr="00077B16" w:rsidRDefault="001C7BEE" w:rsidP="001C7BEE">
            <w:pPr>
              <w:pStyle w:val="Tabletext"/>
              <w:rPr>
                <w:b/>
                <w:bCs/>
              </w:rPr>
            </w:pPr>
          </w:p>
        </w:tc>
      </w:tr>
      <w:tr w:rsidR="001C7BEE" w:rsidRPr="00077B16" w14:paraId="4055AAB7"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2030F0EF" w14:textId="1F3F36A5" w:rsidR="001C7BEE" w:rsidRPr="00077B16" w:rsidRDefault="001C7BEE" w:rsidP="001C7BEE">
            <w:pPr>
              <w:pStyle w:val="Tabletext"/>
              <w:rPr>
                <w:color w:val="FF0000"/>
              </w:rPr>
            </w:pPr>
            <w:r>
              <w:rPr>
                <w:rFonts w:cs="Arial"/>
                <w:b/>
                <w:bCs/>
                <w:color w:val="000000"/>
              </w:rPr>
              <w:t xml:space="preserve">7 </w:t>
            </w:r>
            <w:r>
              <w:rPr>
                <w:rFonts w:cs="Arial"/>
                <w:color w:val="000000"/>
              </w:rPr>
              <w:t xml:space="preserve"> A</w:t>
            </w:r>
            <w:r w:rsidRPr="005B64FF">
              <w:rPr>
                <w:rFonts w:cs="Arial"/>
                <w:color w:val="000000"/>
              </w:rPr>
              <w:t xml:space="preserve"> decision about continuation or cessation of DAPT, prasugrel or ticagrelor medications prior to invasive procedures </w:t>
            </w:r>
            <w:r>
              <w:rPr>
                <w:rFonts w:cs="Arial"/>
                <w:color w:val="000000"/>
              </w:rPr>
              <w:t>was</w:t>
            </w:r>
            <w:r w:rsidRPr="005B64FF">
              <w:rPr>
                <w:rFonts w:cs="Arial"/>
                <w:color w:val="000000"/>
              </w:rPr>
              <w:t xml:space="preserve"> discussed with the patient's relevant specialist for the indication prior to a procedure</w:t>
            </w:r>
          </w:p>
        </w:tc>
        <w:tc>
          <w:tcPr>
            <w:tcW w:w="1244" w:type="dxa"/>
            <w:tcBorders>
              <w:top w:val="single" w:sz="4" w:space="0" w:color="auto"/>
              <w:left w:val="single" w:sz="4" w:space="0" w:color="auto"/>
              <w:bottom w:val="single" w:sz="4" w:space="0" w:color="auto"/>
              <w:right w:val="single" w:sz="4" w:space="0" w:color="auto"/>
            </w:tcBorders>
          </w:tcPr>
          <w:p w14:paraId="2355C59C"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8AAE5E"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1C7BEE" w:rsidRPr="00077B16" w:rsidRDefault="001C7BEE" w:rsidP="001C7BEE">
            <w:pPr>
              <w:pStyle w:val="Tabletext"/>
              <w:rPr>
                <w:b/>
                <w:bCs/>
              </w:rPr>
            </w:pPr>
          </w:p>
        </w:tc>
      </w:tr>
      <w:tr w:rsidR="001C7BEE" w:rsidRPr="00077B16" w14:paraId="1D045AA4"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7D695A41" w14:textId="17E7F4D7" w:rsidR="001C7BEE" w:rsidRPr="00077B16" w:rsidRDefault="001C7BEE" w:rsidP="001C7BEE">
            <w:pPr>
              <w:pStyle w:val="Tabletext"/>
            </w:pPr>
            <w:proofErr w:type="gramStart"/>
            <w:r>
              <w:rPr>
                <w:rFonts w:cs="Arial"/>
                <w:b/>
                <w:bCs/>
                <w:color w:val="000000"/>
              </w:rPr>
              <w:t xml:space="preserve">8 </w:t>
            </w:r>
            <w:r>
              <w:rPr>
                <w:rFonts w:cs="Arial"/>
                <w:color w:val="000000"/>
              </w:rPr>
              <w:t xml:space="preserve"> </w:t>
            </w:r>
            <w:r w:rsidRPr="00595AD8">
              <w:rPr>
                <w:rFonts w:cs="Arial"/>
                <w:color w:val="000000"/>
              </w:rPr>
              <w:t>Testing</w:t>
            </w:r>
            <w:proofErr w:type="gramEnd"/>
            <w:r w:rsidRPr="00595AD8">
              <w:rPr>
                <w:rFonts w:cs="Arial"/>
                <w:color w:val="000000"/>
              </w:rPr>
              <w:t xml:space="preserve"> of the platelet count was performed prior to low-risk procedures (e.g. central line insertion), unless there was a known haematological disorder where platelet count was &lt;30×109/L (</w:t>
            </w:r>
            <w:r w:rsidR="00CA3D4F">
              <w:rPr>
                <w:rFonts w:cs="Arial"/>
                <w:color w:val="000000"/>
              </w:rPr>
              <w:t>t</w:t>
            </w:r>
            <w:r w:rsidR="00CA3D4F" w:rsidRPr="00595AD8">
              <w:rPr>
                <w:rFonts w:cs="Arial"/>
                <w:color w:val="000000"/>
              </w:rPr>
              <w:t xml:space="preserve">arget </w:t>
            </w:r>
            <w:r w:rsidRPr="00595AD8">
              <w:rPr>
                <w:rFonts w:cs="Arial"/>
                <w:color w:val="000000"/>
              </w:rPr>
              <w:t>% compliance: 0%)</w:t>
            </w:r>
          </w:p>
        </w:tc>
        <w:tc>
          <w:tcPr>
            <w:tcW w:w="1244" w:type="dxa"/>
            <w:tcBorders>
              <w:top w:val="single" w:sz="4" w:space="0" w:color="auto"/>
              <w:left w:val="single" w:sz="4" w:space="0" w:color="auto"/>
              <w:bottom w:val="single" w:sz="4" w:space="0" w:color="auto"/>
              <w:right w:val="single" w:sz="4" w:space="0" w:color="auto"/>
            </w:tcBorders>
          </w:tcPr>
          <w:p w14:paraId="0CD72CF6"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5E4983C"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1C7BEE" w:rsidRPr="00077B16" w:rsidRDefault="001C7BEE" w:rsidP="001C7BEE">
            <w:pPr>
              <w:pStyle w:val="Tabletext"/>
              <w:rPr>
                <w:b/>
                <w:bCs/>
              </w:rPr>
            </w:pPr>
          </w:p>
        </w:tc>
      </w:tr>
      <w:tr w:rsidR="001C7BEE" w:rsidRPr="00077B16" w14:paraId="4420D969"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34E09DEE" w14:textId="3905D15B" w:rsidR="001C7BEE" w:rsidRPr="00077B16" w:rsidRDefault="001C7BEE" w:rsidP="001C7BEE">
            <w:pPr>
              <w:pStyle w:val="Tabletext"/>
            </w:pPr>
            <w:proofErr w:type="gramStart"/>
            <w:r>
              <w:rPr>
                <w:rFonts w:cs="Arial"/>
                <w:b/>
                <w:bCs/>
                <w:color w:val="000000"/>
              </w:rPr>
              <w:t xml:space="preserve">9 </w:t>
            </w:r>
            <w:r>
              <w:rPr>
                <w:rFonts w:cs="Arial"/>
                <w:color w:val="000000"/>
              </w:rPr>
              <w:t xml:space="preserve"> </w:t>
            </w:r>
            <w:r w:rsidRPr="00595AD8">
              <w:rPr>
                <w:rFonts w:cs="Arial"/>
                <w:color w:val="000000"/>
              </w:rPr>
              <w:t>Routine</w:t>
            </w:r>
            <w:proofErr w:type="gramEnd"/>
            <w:r w:rsidRPr="00595AD8">
              <w:rPr>
                <w:rFonts w:cs="Arial"/>
                <w:color w:val="000000"/>
              </w:rPr>
              <w:t xml:space="preserve"> testing of PT/INR, APTT, fibrinogen and platelet </w:t>
            </w:r>
            <w:r w:rsidRPr="00595AD8">
              <w:rPr>
                <w:rFonts w:cs="Arial"/>
                <w:color w:val="000000"/>
              </w:rPr>
              <w:lastRenderedPageBreak/>
              <w:t>count was performed before low-risk procedures in patients with stable liver disease (e.g. therapeutic or diagnostic paracentesis) (</w:t>
            </w:r>
            <w:r w:rsidR="00CA3D4F">
              <w:rPr>
                <w:rFonts w:cs="Arial"/>
                <w:color w:val="000000"/>
              </w:rPr>
              <w:t>t</w:t>
            </w:r>
            <w:r w:rsidR="00CA3D4F" w:rsidRPr="00595AD8">
              <w:rPr>
                <w:rFonts w:cs="Arial"/>
                <w:color w:val="000000"/>
              </w:rPr>
              <w:t xml:space="preserve">arget </w:t>
            </w:r>
            <w:r w:rsidRPr="00595AD8">
              <w:rPr>
                <w:rFonts w:cs="Arial"/>
                <w:color w:val="000000"/>
              </w:rPr>
              <w:t>% compliance: 0%)</w:t>
            </w:r>
          </w:p>
        </w:tc>
        <w:tc>
          <w:tcPr>
            <w:tcW w:w="1244" w:type="dxa"/>
            <w:tcBorders>
              <w:top w:val="single" w:sz="4" w:space="0" w:color="auto"/>
              <w:left w:val="single" w:sz="4" w:space="0" w:color="auto"/>
              <w:bottom w:val="single" w:sz="4" w:space="0" w:color="auto"/>
              <w:right w:val="single" w:sz="4" w:space="0" w:color="auto"/>
            </w:tcBorders>
          </w:tcPr>
          <w:p w14:paraId="28E8B2C1"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21E60D2"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2750F6F"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FDE098A" w14:textId="77777777" w:rsidR="001C7BEE" w:rsidRPr="00077B16" w:rsidRDefault="001C7BEE" w:rsidP="001C7BEE">
            <w:pPr>
              <w:pStyle w:val="Tabletext"/>
              <w:rPr>
                <w:b/>
                <w:bCs/>
              </w:rPr>
            </w:pPr>
          </w:p>
        </w:tc>
      </w:tr>
      <w:tr w:rsidR="001C7BEE" w:rsidRPr="00077B16" w14:paraId="3262F634"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01D39D2B" w14:textId="2F3D7284" w:rsidR="001C7BEE" w:rsidRPr="00077B16" w:rsidRDefault="001C7BEE" w:rsidP="001C7BEE">
            <w:pPr>
              <w:pStyle w:val="Tabletext"/>
            </w:pPr>
            <w:proofErr w:type="gramStart"/>
            <w:r>
              <w:rPr>
                <w:rFonts w:cs="Arial"/>
                <w:b/>
                <w:bCs/>
                <w:color w:val="000000"/>
              </w:rPr>
              <w:t xml:space="preserve">10 </w:t>
            </w:r>
            <w:r>
              <w:rPr>
                <w:rFonts w:cs="Arial"/>
                <w:color w:val="000000"/>
              </w:rPr>
              <w:t xml:space="preserve"> </w:t>
            </w:r>
            <w:r w:rsidRPr="00C37654">
              <w:rPr>
                <w:rFonts w:cs="Arial"/>
                <w:color w:val="000000"/>
              </w:rPr>
              <w:t>A</w:t>
            </w:r>
            <w:proofErr w:type="gramEnd"/>
            <w:r w:rsidRPr="00C37654">
              <w:rPr>
                <w:rFonts w:cs="Arial"/>
                <w:color w:val="000000"/>
              </w:rPr>
              <w:t xml:space="preserve"> coagulation screen (PT/INR, APTT and fibrinogen) </w:t>
            </w:r>
            <w:r>
              <w:rPr>
                <w:rFonts w:cs="Arial"/>
                <w:color w:val="000000"/>
              </w:rPr>
              <w:t>was</w:t>
            </w:r>
            <w:r w:rsidRPr="00C37654">
              <w:rPr>
                <w:rFonts w:cs="Arial"/>
                <w:color w:val="000000"/>
              </w:rPr>
              <w:t xml:space="preserve"> performed in patients undergoing a procedure with a high risk of bleeding and liver disease, malnutrition, prolonged antibiotic use and in patients with a risk of coagulopathy (e.g. sepsis/critical care patients)</w:t>
            </w:r>
          </w:p>
        </w:tc>
        <w:tc>
          <w:tcPr>
            <w:tcW w:w="1244" w:type="dxa"/>
            <w:tcBorders>
              <w:top w:val="single" w:sz="4" w:space="0" w:color="auto"/>
              <w:left w:val="single" w:sz="4" w:space="0" w:color="auto"/>
              <w:bottom w:val="single" w:sz="4" w:space="0" w:color="auto"/>
              <w:right w:val="single" w:sz="4" w:space="0" w:color="auto"/>
            </w:tcBorders>
          </w:tcPr>
          <w:p w14:paraId="5758FB3A"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BAAC620"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7F7C3D"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2CDF5FF" w14:textId="77777777" w:rsidR="001C7BEE" w:rsidRPr="00077B16" w:rsidRDefault="001C7BEE" w:rsidP="001C7BEE">
            <w:pPr>
              <w:pStyle w:val="Tabletext"/>
              <w:rPr>
                <w:b/>
                <w:bCs/>
              </w:rPr>
            </w:pPr>
          </w:p>
        </w:tc>
      </w:tr>
      <w:tr w:rsidR="001C7BEE" w:rsidRPr="00077B16" w14:paraId="5375EB38"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56E3EA7A" w14:textId="23914704" w:rsidR="001C7BEE" w:rsidRPr="00077B16" w:rsidRDefault="001C7BEE" w:rsidP="001C7BEE">
            <w:pPr>
              <w:pStyle w:val="Tabletext"/>
            </w:pPr>
            <w:r w:rsidRPr="005837CC">
              <w:rPr>
                <w:rFonts w:cs="Arial"/>
                <w:b/>
                <w:bCs/>
                <w:color w:val="000000"/>
              </w:rPr>
              <w:t>1</w:t>
            </w:r>
            <w:r>
              <w:rPr>
                <w:rFonts w:cs="Arial"/>
                <w:b/>
                <w:bCs/>
                <w:color w:val="000000"/>
              </w:rPr>
              <w:t xml:space="preserve">1 </w:t>
            </w:r>
            <w:r>
              <w:rPr>
                <w:rFonts w:cs="Arial"/>
                <w:color w:val="000000"/>
              </w:rPr>
              <w:t xml:space="preserve"> A</w:t>
            </w:r>
            <w:r w:rsidRPr="005B64FF">
              <w:rPr>
                <w:rFonts w:cs="Arial"/>
                <w:color w:val="000000"/>
              </w:rPr>
              <w:t xml:space="preserve"> </w:t>
            </w:r>
            <w:proofErr w:type="spellStart"/>
            <w:r w:rsidRPr="005B64FF">
              <w:rPr>
                <w:rFonts w:cs="Arial"/>
                <w:color w:val="000000"/>
              </w:rPr>
              <w:t>preprocedure</w:t>
            </w:r>
            <w:proofErr w:type="spellEnd"/>
            <w:r w:rsidRPr="005B64FF">
              <w:rPr>
                <w:rFonts w:cs="Arial"/>
                <w:color w:val="000000"/>
              </w:rPr>
              <w:t xml:space="preserve"> INR on patients </w:t>
            </w:r>
            <w:r>
              <w:rPr>
                <w:rFonts w:cs="Arial"/>
                <w:color w:val="000000"/>
              </w:rPr>
              <w:t>taking</w:t>
            </w:r>
            <w:r w:rsidRPr="005B64FF">
              <w:rPr>
                <w:rFonts w:cs="Arial"/>
                <w:color w:val="000000"/>
              </w:rPr>
              <w:t xml:space="preserve"> a VKA</w:t>
            </w:r>
            <w:r>
              <w:rPr>
                <w:rFonts w:cs="Arial"/>
                <w:color w:val="000000"/>
              </w:rPr>
              <w:t xml:space="preserve"> was performed</w:t>
            </w:r>
          </w:p>
        </w:tc>
        <w:tc>
          <w:tcPr>
            <w:tcW w:w="1244" w:type="dxa"/>
            <w:tcBorders>
              <w:top w:val="single" w:sz="4" w:space="0" w:color="auto"/>
              <w:left w:val="single" w:sz="4" w:space="0" w:color="auto"/>
              <w:bottom w:val="single" w:sz="4" w:space="0" w:color="auto"/>
              <w:right w:val="single" w:sz="4" w:space="0" w:color="auto"/>
            </w:tcBorders>
          </w:tcPr>
          <w:p w14:paraId="296BDE77"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A425179"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1C7BEE" w:rsidRPr="00077B16" w:rsidRDefault="001C7BEE" w:rsidP="001C7BEE">
            <w:pPr>
              <w:pStyle w:val="Tabletext"/>
              <w:rPr>
                <w:b/>
                <w:bCs/>
              </w:rPr>
            </w:pPr>
          </w:p>
        </w:tc>
      </w:tr>
      <w:tr w:rsidR="001C7BEE" w:rsidRPr="00077B16" w14:paraId="77ACD80C"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33419C3C" w14:textId="175E36CD" w:rsidR="001C7BEE" w:rsidRPr="00077B16" w:rsidRDefault="001C7BEE" w:rsidP="001C7BEE">
            <w:pPr>
              <w:pStyle w:val="Tabletext"/>
            </w:pPr>
            <w:r w:rsidRPr="005837CC">
              <w:rPr>
                <w:rFonts w:cs="Arial"/>
                <w:b/>
                <w:bCs/>
                <w:color w:val="000000"/>
              </w:rPr>
              <w:t>1</w:t>
            </w:r>
            <w:r>
              <w:rPr>
                <w:rFonts w:cs="Arial"/>
                <w:b/>
                <w:bCs/>
                <w:color w:val="000000"/>
              </w:rPr>
              <w:t xml:space="preserve">2 </w:t>
            </w:r>
            <w:r>
              <w:rPr>
                <w:rFonts w:cs="Arial"/>
                <w:color w:val="000000"/>
              </w:rPr>
              <w:t xml:space="preserve"> </w:t>
            </w:r>
            <w:r w:rsidRPr="00C37654">
              <w:rPr>
                <w:rFonts w:cs="Arial"/>
                <w:color w:val="000000"/>
              </w:rPr>
              <w:t>Vitamin K replacement in patients with an increased INR, secondary to vitamin K deficiency, for example, cholestatic liver disease, malnutrition or prolonged antibiotic use</w:t>
            </w:r>
            <w:r>
              <w:rPr>
                <w:rFonts w:cs="Arial"/>
                <w:color w:val="000000"/>
              </w:rPr>
              <w:t>,</w:t>
            </w:r>
            <w:r w:rsidRPr="00C37654">
              <w:rPr>
                <w:rFonts w:cs="Arial"/>
                <w:color w:val="000000"/>
              </w:rPr>
              <w:t xml:space="preserve"> </w:t>
            </w:r>
            <w:r>
              <w:rPr>
                <w:rFonts w:cs="Arial"/>
                <w:color w:val="000000"/>
              </w:rPr>
              <w:t>was</w:t>
            </w:r>
            <w:r w:rsidRPr="00C37654">
              <w:rPr>
                <w:rFonts w:cs="Arial"/>
                <w:color w:val="000000"/>
              </w:rPr>
              <w:t xml:space="preserve"> considered</w:t>
            </w:r>
          </w:p>
        </w:tc>
        <w:tc>
          <w:tcPr>
            <w:tcW w:w="1244" w:type="dxa"/>
            <w:tcBorders>
              <w:top w:val="single" w:sz="4" w:space="0" w:color="auto"/>
              <w:left w:val="single" w:sz="4" w:space="0" w:color="auto"/>
              <w:bottom w:val="single" w:sz="4" w:space="0" w:color="auto"/>
              <w:right w:val="single" w:sz="4" w:space="0" w:color="auto"/>
            </w:tcBorders>
          </w:tcPr>
          <w:p w14:paraId="044D632A"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7E1EFBE"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1C7BEE" w:rsidRPr="00077B16" w:rsidRDefault="001C7BEE" w:rsidP="001C7BEE">
            <w:pPr>
              <w:pStyle w:val="Tabletext"/>
              <w:rPr>
                <w:b/>
                <w:bCs/>
              </w:rPr>
            </w:pPr>
          </w:p>
        </w:tc>
      </w:tr>
      <w:tr w:rsidR="001C7BEE" w:rsidRPr="00077B16" w14:paraId="5B5FE2CF"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0875B575" w14:textId="635EFF5A" w:rsidR="001C7BEE" w:rsidRPr="00077B16" w:rsidRDefault="001C7BEE" w:rsidP="001C7BEE">
            <w:pPr>
              <w:pStyle w:val="Tabletext"/>
            </w:pPr>
            <w:proofErr w:type="gramStart"/>
            <w:r w:rsidRPr="005837CC">
              <w:rPr>
                <w:rFonts w:cs="Arial"/>
                <w:b/>
                <w:bCs/>
                <w:color w:val="000000"/>
              </w:rPr>
              <w:t>1</w:t>
            </w:r>
            <w:r>
              <w:rPr>
                <w:rFonts w:cs="Arial"/>
                <w:b/>
                <w:bCs/>
                <w:color w:val="000000"/>
              </w:rPr>
              <w:t>3</w:t>
            </w:r>
            <w:r>
              <w:rPr>
                <w:rFonts w:cs="Arial"/>
                <w:color w:val="000000"/>
              </w:rPr>
              <w:t xml:space="preserve">  </w:t>
            </w:r>
            <w:proofErr w:type="spellStart"/>
            <w:r w:rsidRPr="00595AD8">
              <w:rPr>
                <w:rFonts w:cs="Arial"/>
                <w:color w:val="000000"/>
              </w:rPr>
              <w:t>Preprocedure</w:t>
            </w:r>
            <w:proofErr w:type="spellEnd"/>
            <w:proofErr w:type="gramEnd"/>
            <w:r w:rsidRPr="00595AD8">
              <w:rPr>
                <w:rFonts w:cs="Arial"/>
                <w:color w:val="000000"/>
              </w:rPr>
              <w:t xml:space="preserve"> vitamin K replacement was performed in individuals with cirrhosis without risk factors for vitamin K deficiency (</w:t>
            </w:r>
            <w:r w:rsidR="00CA3D4F">
              <w:rPr>
                <w:rFonts w:cs="Arial"/>
                <w:color w:val="000000"/>
              </w:rPr>
              <w:t>t</w:t>
            </w:r>
            <w:r w:rsidR="00CA3D4F" w:rsidRPr="00595AD8">
              <w:rPr>
                <w:rFonts w:cs="Arial"/>
                <w:color w:val="000000"/>
              </w:rPr>
              <w:t xml:space="preserve">arget </w:t>
            </w:r>
            <w:r w:rsidRPr="00595AD8">
              <w:rPr>
                <w:rFonts w:cs="Arial"/>
                <w:color w:val="000000"/>
              </w:rPr>
              <w:t>% compliance: 0%)</w:t>
            </w:r>
          </w:p>
        </w:tc>
        <w:tc>
          <w:tcPr>
            <w:tcW w:w="1244" w:type="dxa"/>
            <w:tcBorders>
              <w:top w:val="single" w:sz="4" w:space="0" w:color="auto"/>
              <w:left w:val="single" w:sz="4" w:space="0" w:color="auto"/>
              <w:bottom w:val="single" w:sz="4" w:space="0" w:color="auto"/>
              <w:right w:val="single" w:sz="4" w:space="0" w:color="auto"/>
            </w:tcBorders>
          </w:tcPr>
          <w:p w14:paraId="5BD59B9C"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BF9B1F"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AEB9DF"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1D7009" w14:textId="77777777" w:rsidR="001C7BEE" w:rsidRPr="00077B16" w:rsidRDefault="001C7BEE" w:rsidP="001C7BEE">
            <w:pPr>
              <w:pStyle w:val="Tabletext"/>
              <w:rPr>
                <w:b/>
                <w:bCs/>
              </w:rPr>
            </w:pPr>
          </w:p>
        </w:tc>
      </w:tr>
      <w:tr w:rsidR="001C7BEE" w:rsidRPr="00077B16" w14:paraId="22D7C1E5"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0DFFDCC3" w14:textId="4E7711E3" w:rsidR="001C7BEE" w:rsidRPr="00077B16" w:rsidRDefault="001C7BEE" w:rsidP="001C7BEE">
            <w:pPr>
              <w:pStyle w:val="Tabletext"/>
            </w:pPr>
            <w:proofErr w:type="gramStart"/>
            <w:r w:rsidRPr="005837CC">
              <w:rPr>
                <w:rFonts w:cs="Arial"/>
                <w:b/>
                <w:bCs/>
                <w:color w:val="000000"/>
              </w:rPr>
              <w:t>1</w:t>
            </w:r>
            <w:r>
              <w:rPr>
                <w:rFonts w:cs="Arial"/>
                <w:b/>
                <w:bCs/>
                <w:color w:val="000000"/>
              </w:rPr>
              <w:t>4</w:t>
            </w:r>
            <w:r>
              <w:rPr>
                <w:rFonts w:cs="Arial"/>
                <w:color w:val="000000"/>
              </w:rPr>
              <w:t xml:space="preserve">  </w:t>
            </w:r>
            <w:r w:rsidRPr="00595AD8">
              <w:rPr>
                <w:rFonts w:cs="Arial"/>
                <w:color w:val="000000"/>
              </w:rPr>
              <w:t>Routine</w:t>
            </w:r>
            <w:proofErr w:type="gramEnd"/>
            <w:r w:rsidRPr="00595AD8">
              <w:rPr>
                <w:rFonts w:cs="Arial"/>
                <w:color w:val="000000"/>
              </w:rPr>
              <w:t xml:space="preserve"> use of FFP or other replacement therapies to correct </w:t>
            </w:r>
            <w:r w:rsidRPr="00595AD8">
              <w:rPr>
                <w:rFonts w:cs="Arial"/>
                <w:color w:val="000000"/>
              </w:rPr>
              <w:lastRenderedPageBreak/>
              <w:t>abnormal coagulation results was carried out in patients undergoing a procedure (</w:t>
            </w:r>
            <w:r w:rsidR="00CA3D4F">
              <w:rPr>
                <w:rFonts w:cs="Arial"/>
                <w:color w:val="000000"/>
              </w:rPr>
              <w:t>t</w:t>
            </w:r>
            <w:r w:rsidR="00CA3D4F" w:rsidRPr="00595AD8">
              <w:rPr>
                <w:rFonts w:cs="Arial"/>
                <w:color w:val="000000"/>
              </w:rPr>
              <w:t xml:space="preserve">arget </w:t>
            </w:r>
            <w:r w:rsidRPr="00595AD8">
              <w:rPr>
                <w:rFonts w:cs="Arial"/>
                <w:color w:val="000000"/>
              </w:rPr>
              <w:t>% compliance: 0%)</w:t>
            </w:r>
          </w:p>
        </w:tc>
        <w:tc>
          <w:tcPr>
            <w:tcW w:w="1244" w:type="dxa"/>
            <w:tcBorders>
              <w:top w:val="single" w:sz="4" w:space="0" w:color="auto"/>
              <w:left w:val="single" w:sz="4" w:space="0" w:color="auto"/>
              <w:bottom w:val="single" w:sz="4" w:space="0" w:color="auto"/>
              <w:right w:val="single" w:sz="4" w:space="0" w:color="auto"/>
            </w:tcBorders>
          </w:tcPr>
          <w:p w14:paraId="7F2C650D"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652D9862"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3BE0C3"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12A67AB" w14:textId="77777777" w:rsidR="001C7BEE" w:rsidRPr="00077B16" w:rsidRDefault="001C7BEE" w:rsidP="001C7BEE">
            <w:pPr>
              <w:pStyle w:val="Tabletext"/>
              <w:rPr>
                <w:b/>
                <w:bCs/>
              </w:rPr>
            </w:pPr>
          </w:p>
        </w:tc>
      </w:tr>
      <w:tr w:rsidR="001C7BEE" w:rsidRPr="00077B16" w14:paraId="0807B489"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302BFE12" w14:textId="48F60469" w:rsidR="001C7BEE" w:rsidRPr="00077B16" w:rsidRDefault="001C7BEE" w:rsidP="001C7BEE">
            <w:pPr>
              <w:pStyle w:val="Tabletext"/>
            </w:pPr>
            <w:proofErr w:type="gramStart"/>
            <w:r w:rsidRPr="005837CC">
              <w:rPr>
                <w:rFonts w:cs="Arial"/>
                <w:b/>
                <w:bCs/>
                <w:color w:val="000000"/>
              </w:rPr>
              <w:t>1</w:t>
            </w:r>
            <w:r>
              <w:rPr>
                <w:rFonts w:cs="Arial"/>
                <w:b/>
                <w:bCs/>
                <w:color w:val="000000"/>
              </w:rPr>
              <w:t>5</w:t>
            </w:r>
            <w:r>
              <w:rPr>
                <w:rFonts w:cs="Arial"/>
                <w:color w:val="000000"/>
              </w:rPr>
              <w:t xml:space="preserve">  </w:t>
            </w:r>
            <w:r w:rsidRPr="00595AD8">
              <w:rPr>
                <w:rFonts w:cs="Arial"/>
                <w:color w:val="000000"/>
              </w:rPr>
              <w:t>Preprocedural</w:t>
            </w:r>
            <w:proofErr w:type="gramEnd"/>
            <w:r w:rsidRPr="00595AD8">
              <w:rPr>
                <w:rFonts w:cs="Arial"/>
                <w:color w:val="000000"/>
              </w:rPr>
              <w:t xml:space="preserve"> testing of fibrinogen in non-critically ill patients was performed (</w:t>
            </w:r>
            <w:r w:rsidR="00CA3D4F">
              <w:rPr>
                <w:rFonts w:cs="Arial"/>
                <w:color w:val="000000"/>
              </w:rPr>
              <w:t>t</w:t>
            </w:r>
            <w:r w:rsidR="00CA3D4F" w:rsidRPr="00595AD8">
              <w:rPr>
                <w:rFonts w:cs="Arial"/>
                <w:color w:val="000000"/>
              </w:rPr>
              <w:t xml:space="preserve">arget </w:t>
            </w:r>
            <w:r w:rsidRPr="00595AD8">
              <w:rPr>
                <w:rFonts w:cs="Arial"/>
                <w:color w:val="000000"/>
              </w:rPr>
              <w:t>% compliance: 0%)</w:t>
            </w:r>
          </w:p>
        </w:tc>
        <w:tc>
          <w:tcPr>
            <w:tcW w:w="1244" w:type="dxa"/>
            <w:tcBorders>
              <w:top w:val="single" w:sz="4" w:space="0" w:color="auto"/>
              <w:left w:val="single" w:sz="4" w:space="0" w:color="auto"/>
              <w:bottom w:val="single" w:sz="4" w:space="0" w:color="auto"/>
              <w:right w:val="single" w:sz="4" w:space="0" w:color="auto"/>
            </w:tcBorders>
          </w:tcPr>
          <w:p w14:paraId="7DAB7F50"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7400DAF"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F59C286"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886141" w14:textId="77777777" w:rsidR="001C7BEE" w:rsidRPr="00077B16" w:rsidRDefault="001C7BEE" w:rsidP="001C7BEE">
            <w:pPr>
              <w:pStyle w:val="Tabletext"/>
              <w:rPr>
                <w:b/>
                <w:bCs/>
              </w:rPr>
            </w:pPr>
          </w:p>
        </w:tc>
      </w:tr>
      <w:tr w:rsidR="001C7BEE" w:rsidRPr="00077B16" w14:paraId="2EB1CA33"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24EF1272" w14:textId="7F613606" w:rsidR="001C7BEE" w:rsidRPr="00077B16" w:rsidRDefault="001C7BEE" w:rsidP="001C7BEE">
            <w:pPr>
              <w:pStyle w:val="Tabletext"/>
            </w:pPr>
            <w:r w:rsidRPr="005837CC">
              <w:rPr>
                <w:rFonts w:cs="Arial"/>
                <w:b/>
                <w:bCs/>
                <w:color w:val="000000"/>
              </w:rPr>
              <w:t>1</w:t>
            </w:r>
            <w:r>
              <w:rPr>
                <w:rFonts w:cs="Arial"/>
                <w:b/>
                <w:bCs/>
                <w:color w:val="000000"/>
              </w:rPr>
              <w:t>6</w:t>
            </w:r>
            <w:r>
              <w:rPr>
                <w:rFonts w:cs="Arial"/>
                <w:color w:val="000000"/>
              </w:rPr>
              <w:t xml:space="preserve">  </w:t>
            </w:r>
            <w:r w:rsidRPr="00C37654">
              <w:rPr>
                <w:rFonts w:cs="Arial"/>
                <w:color w:val="000000"/>
              </w:rPr>
              <w:t xml:space="preserve">A preprocedural fibrinogen level &gt;1.0 g/L </w:t>
            </w:r>
            <w:r>
              <w:rPr>
                <w:rFonts w:cs="Arial"/>
                <w:color w:val="000000"/>
              </w:rPr>
              <w:t>was</w:t>
            </w:r>
            <w:r w:rsidRPr="00C37654">
              <w:rPr>
                <w:rFonts w:cs="Arial"/>
                <w:color w:val="000000"/>
              </w:rPr>
              <w:t xml:space="preserve"> aimed for in critically ill patients undergoing a high-risk procedure </w:t>
            </w:r>
          </w:p>
        </w:tc>
        <w:tc>
          <w:tcPr>
            <w:tcW w:w="1244" w:type="dxa"/>
            <w:tcBorders>
              <w:top w:val="single" w:sz="4" w:space="0" w:color="auto"/>
              <w:left w:val="single" w:sz="4" w:space="0" w:color="auto"/>
              <w:bottom w:val="single" w:sz="4" w:space="0" w:color="auto"/>
              <w:right w:val="single" w:sz="4" w:space="0" w:color="auto"/>
            </w:tcBorders>
          </w:tcPr>
          <w:p w14:paraId="530EA5C1"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3F9BB5F"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E9618AF"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6F3DBE13" w14:textId="77777777" w:rsidR="001C7BEE" w:rsidRPr="00077B16" w:rsidRDefault="001C7BEE" w:rsidP="001C7BEE">
            <w:pPr>
              <w:pStyle w:val="Tabletext"/>
              <w:rPr>
                <w:b/>
                <w:bCs/>
              </w:rPr>
            </w:pPr>
          </w:p>
        </w:tc>
      </w:tr>
      <w:tr w:rsidR="001C7BEE" w:rsidRPr="00077B16" w14:paraId="32D3CF55"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64BEC696" w14:textId="4F6291DE" w:rsidR="001C7BEE" w:rsidRPr="00077B16" w:rsidRDefault="001C7BEE" w:rsidP="001C7BEE">
            <w:pPr>
              <w:pStyle w:val="Tabletext"/>
            </w:pPr>
            <w:r w:rsidRPr="005837CC">
              <w:rPr>
                <w:rFonts w:cs="Arial"/>
                <w:b/>
                <w:bCs/>
                <w:color w:val="000000"/>
              </w:rPr>
              <w:t>1</w:t>
            </w:r>
            <w:r>
              <w:rPr>
                <w:rFonts w:cs="Arial"/>
                <w:b/>
                <w:bCs/>
                <w:color w:val="000000"/>
              </w:rPr>
              <w:t>7</w:t>
            </w:r>
            <w:r>
              <w:rPr>
                <w:rFonts w:cs="Arial"/>
                <w:color w:val="000000"/>
              </w:rPr>
              <w:t xml:space="preserve">  </w:t>
            </w:r>
            <w:r w:rsidRPr="00C37654">
              <w:rPr>
                <w:rFonts w:cs="Arial"/>
                <w:color w:val="000000"/>
              </w:rPr>
              <w:t xml:space="preserve">A platelet transfusion </w:t>
            </w:r>
            <w:r>
              <w:rPr>
                <w:rFonts w:cs="Arial"/>
                <w:color w:val="000000"/>
              </w:rPr>
              <w:t>was</w:t>
            </w:r>
            <w:r w:rsidRPr="00C37654">
              <w:rPr>
                <w:rFonts w:cs="Arial"/>
                <w:color w:val="000000"/>
              </w:rPr>
              <w:t xml:space="preserve"> considered in patients with a platelet count &lt;30×10</w:t>
            </w:r>
            <w:r w:rsidRPr="000003A6">
              <w:rPr>
                <w:rFonts w:cs="Arial"/>
                <w:color w:val="000000"/>
                <w:vertAlign w:val="superscript"/>
              </w:rPr>
              <w:t>9</w:t>
            </w:r>
            <w:r w:rsidRPr="00C37654">
              <w:rPr>
                <w:rFonts w:cs="Arial"/>
                <w:color w:val="000000"/>
              </w:rPr>
              <w:t>/L requiring a tunnelled central venous catheter</w:t>
            </w:r>
          </w:p>
        </w:tc>
        <w:tc>
          <w:tcPr>
            <w:tcW w:w="1244" w:type="dxa"/>
            <w:tcBorders>
              <w:top w:val="single" w:sz="4" w:space="0" w:color="auto"/>
              <w:left w:val="single" w:sz="4" w:space="0" w:color="auto"/>
              <w:bottom w:val="single" w:sz="4" w:space="0" w:color="auto"/>
              <w:right w:val="single" w:sz="4" w:space="0" w:color="auto"/>
            </w:tcBorders>
          </w:tcPr>
          <w:p w14:paraId="320D08D0"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917F0A0"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676F487"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7C8FC70A" w14:textId="77777777" w:rsidR="001C7BEE" w:rsidRPr="00077B16" w:rsidRDefault="001C7BEE" w:rsidP="001C7BEE">
            <w:pPr>
              <w:pStyle w:val="Tabletext"/>
              <w:rPr>
                <w:b/>
                <w:bCs/>
              </w:rPr>
            </w:pPr>
          </w:p>
        </w:tc>
      </w:tr>
      <w:tr w:rsidR="001C7BEE" w:rsidRPr="00077B16" w14:paraId="2872D617" w14:textId="77777777" w:rsidTr="0006340B">
        <w:trPr>
          <w:trHeight w:val="20"/>
        </w:trPr>
        <w:tc>
          <w:tcPr>
            <w:tcW w:w="2817" w:type="dxa"/>
            <w:tcBorders>
              <w:top w:val="single" w:sz="4" w:space="0" w:color="auto"/>
              <w:left w:val="single" w:sz="4" w:space="0" w:color="auto"/>
              <w:bottom w:val="single" w:sz="4" w:space="0" w:color="auto"/>
              <w:right w:val="single" w:sz="4" w:space="0" w:color="auto"/>
            </w:tcBorders>
          </w:tcPr>
          <w:p w14:paraId="310C395D" w14:textId="1382DE13" w:rsidR="001C7BEE" w:rsidRPr="00077B16" w:rsidRDefault="001C7BEE" w:rsidP="001C7BEE">
            <w:pPr>
              <w:pStyle w:val="Tabletext"/>
            </w:pPr>
            <w:r w:rsidRPr="005837CC">
              <w:rPr>
                <w:rFonts w:cs="Arial"/>
                <w:b/>
                <w:bCs/>
                <w:color w:val="000000"/>
              </w:rPr>
              <w:t>1</w:t>
            </w:r>
            <w:r>
              <w:rPr>
                <w:rFonts w:cs="Arial"/>
                <w:b/>
                <w:bCs/>
                <w:color w:val="000000"/>
              </w:rPr>
              <w:t>8</w:t>
            </w:r>
            <w:r>
              <w:rPr>
                <w:rFonts w:cs="Arial"/>
                <w:color w:val="000000"/>
              </w:rPr>
              <w:t xml:space="preserve">  </w:t>
            </w:r>
            <w:r w:rsidRPr="00C37654">
              <w:rPr>
                <w:rFonts w:cs="Arial"/>
                <w:color w:val="000000"/>
              </w:rPr>
              <w:t xml:space="preserve">Thrombopoietin receptor agonists </w:t>
            </w:r>
            <w:r>
              <w:rPr>
                <w:rFonts w:cs="Arial"/>
                <w:color w:val="000000"/>
              </w:rPr>
              <w:t>was</w:t>
            </w:r>
            <w:r w:rsidRPr="00C37654">
              <w:rPr>
                <w:rFonts w:cs="Arial"/>
                <w:color w:val="000000"/>
              </w:rPr>
              <w:t xml:space="preserve"> considered for high</w:t>
            </w:r>
            <w:r>
              <w:rPr>
                <w:rFonts w:cs="Arial"/>
                <w:color w:val="000000"/>
              </w:rPr>
              <w:noBreakHyphen/>
            </w:r>
            <w:r w:rsidRPr="00C37654">
              <w:rPr>
                <w:rFonts w:cs="Arial"/>
                <w:color w:val="000000"/>
              </w:rPr>
              <w:t xml:space="preserve">risk procedures in patients with liver disease, if the platelet count </w:t>
            </w:r>
            <w:r>
              <w:rPr>
                <w:rFonts w:cs="Arial"/>
                <w:color w:val="000000"/>
              </w:rPr>
              <w:t>was</w:t>
            </w:r>
            <w:r w:rsidRPr="00C37654">
              <w:rPr>
                <w:rFonts w:cs="Arial"/>
                <w:color w:val="000000"/>
              </w:rPr>
              <w:t xml:space="preserve"> &lt;50×10</w:t>
            </w:r>
            <w:r w:rsidRPr="000003A6">
              <w:rPr>
                <w:rFonts w:cs="Arial"/>
                <w:color w:val="000000"/>
                <w:vertAlign w:val="superscript"/>
              </w:rPr>
              <w:t>9</w:t>
            </w:r>
            <w:r w:rsidRPr="00C37654">
              <w:rPr>
                <w:rFonts w:cs="Arial"/>
                <w:color w:val="000000"/>
              </w:rPr>
              <w:t>/L</w:t>
            </w:r>
          </w:p>
        </w:tc>
        <w:tc>
          <w:tcPr>
            <w:tcW w:w="1244" w:type="dxa"/>
            <w:tcBorders>
              <w:top w:val="single" w:sz="4" w:space="0" w:color="auto"/>
              <w:left w:val="single" w:sz="4" w:space="0" w:color="auto"/>
              <w:bottom w:val="single" w:sz="4" w:space="0" w:color="auto"/>
              <w:right w:val="single" w:sz="4" w:space="0" w:color="auto"/>
            </w:tcBorders>
          </w:tcPr>
          <w:p w14:paraId="192D50C1" w14:textId="77777777" w:rsidR="001C7BEE" w:rsidRPr="00077B16" w:rsidRDefault="001C7BEE" w:rsidP="001C7BEE">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A7FB415" w14:textId="77777777" w:rsidR="001C7BEE" w:rsidRPr="00077B16" w:rsidRDefault="001C7BEE" w:rsidP="001C7BEE">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2C8C23" w14:textId="77777777" w:rsidR="001C7BEE" w:rsidRPr="00077B16" w:rsidRDefault="001C7BEE" w:rsidP="001C7BEE">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808E62C" w14:textId="77777777" w:rsidR="001C7BEE" w:rsidRPr="00077B16" w:rsidRDefault="001C7BEE" w:rsidP="001C7BEE">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74272F9B" w:rsidR="002806C7" w:rsidRPr="0006340B" w:rsidRDefault="0006340B" w:rsidP="0006340B">
            <w:pPr>
              <w:rPr>
                <w:rFonts w:cs="Arial"/>
              </w:rPr>
            </w:pPr>
            <w:r w:rsidRPr="0006340B">
              <w:rPr>
                <w:rFonts w:cs="Arial"/>
              </w:rPr>
              <w:t xml:space="preserve">An audit of compliance with the </w:t>
            </w:r>
            <w:r>
              <w:rPr>
                <w:rFonts w:cs="Arial"/>
              </w:rPr>
              <w:t>BSH</w:t>
            </w:r>
            <w:r w:rsidRPr="0006340B">
              <w:rPr>
                <w:rFonts w:cs="Arial"/>
              </w:rPr>
              <w:t xml:space="preserve"> guidelines on the assessment and management of bleeding risk prior to invasive procedures</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mbria"/>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A753" w14:textId="193FF52D"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59264"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CA3D4F">
      <w:rPr>
        <w:rFonts w:cs="Arial"/>
        <w:sz w:val="20"/>
        <w:szCs w:val="20"/>
      </w:rPr>
      <w:t>121224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3569" w14:textId="2EB2856E" w:rsidR="00590DC3" w:rsidRPr="00D366F9" w:rsidRDefault="00C1018E" w:rsidP="00927185">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1312"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3120"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CA3D4F">
      <w:rPr>
        <w:rFonts w:cs="Arial"/>
        <w:sz w:val="20"/>
        <w:szCs w:val="20"/>
      </w:rPr>
      <w:t>121224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30FE" w14:textId="62C4668F" w:rsidR="00590DC3" w:rsidRPr="00927185" w:rsidRDefault="005D5BD1" w:rsidP="00927185">
    <w:pPr>
      <w:pStyle w:val="Header"/>
      <w:tabs>
        <w:tab w:val="clear" w:pos="8306"/>
        <w:tab w:val="right" w:pos="9639"/>
      </w:tabs>
      <w:rPr>
        <w:rFonts w:cs="Arial"/>
        <w:noProof/>
        <w:sz w:val="28"/>
        <w:szCs w:val="28"/>
        <w:lang w:eastAsia="en-GB"/>
      </w:rPr>
    </w:pPr>
    <w:r>
      <w:rPr>
        <w:noProof/>
      </w:rPr>
      <w:drawing>
        <wp:anchor distT="0" distB="0" distL="114300" distR="114300" simplePos="0" relativeHeight="251664384" behindDoc="1" locked="0" layoutInCell="1" allowOverlap="1" wp14:anchorId="6FEC5EA1" wp14:editId="3E9E2A30">
          <wp:simplePos x="0" y="0"/>
          <wp:positionH relativeFrom="margin">
            <wp:align>right</wp:align>
          </wp:positionH>
          <wp:positionV relativeFrom="paragraph">
            <wp:posOffset>190500</wp:posOffset>
          </wp:positionV>
          <wp:extent cx="2258060" cy="662940"/>
          <wp:effectExtent l="0" t="0" r="8890" b="3810"/>
          <wp:wrapNone/>
          <wp:docPr id="336815308" name="Picture 42" descr="BSH-Logo-Straplin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SH-Logo-Straplin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72C">
      <w:rPr>
        <w:noProof/>
        <w:lang w:eastAsia="en-GB"/>
      </w:rPr>
      <w:drawing>
        <wp:inline distT="0" distB="0" distL="0" distR="0" wp14:anchorId="678F3402" wp14:editId="037A1FF1">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CDEE9D8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BE406C"/>
    <w:multiLevelType w:val="hybridMultilevel"/>
    <w:tmpl w:val="31BC49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170EDA"/>
    <w:multiLevelType w:val="hybridMultilevel"/>
    <w:tmpl w:val="D20A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20"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A1A4A"/>
    <w:multiLevelType w:val="hybridMultilevel"/>
    <w:tmpl w:val="6B3084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5"/>
  </w:num>
  <w:num w:numId="3" w16cid:durableId="1837838498">
    <w:abstractNumId w:val="5"/>
  </w:num>
  <w:num w:numId="4" w16cid:durableId="1977566131">
    <w:abstractNumId w:val="6"/>
  </w:num>
  <w:num w:numId="5" w16cid:durableId="1911698097">
    <w:abstractNumId w:val="18"/>
  </w:num>
  <w:num w:numId="6" w16cid:durableId="1681543166">
    <w:abstractNumId w:val="29"/>
  </w:num>
  <w:num w:numId="7" w16cid:durableId="2110732581">
    <w:abstractNumId w:val="11"/>
  </w:num>
  <w:num w:numId="8" w16cid:durableId="150567517">
    <w:abstractNumId w:val="20"/>
  </w:num>
  <w:num w:numId="9" w16cid:durableId="118693893">
    <w:abstractNumId w:val="12"/>
  </w:num>
  <w:num w:numId="10" w16cid:durableId="356666159">
    <w:abstractNumId w:val="1"/>
  </w:num>
  <w:num w:numId="11" w16cid:durableId="13655170">
    <w:abstractNumId w:val="28"/>
  </w:num>
  <w:num w:numId="12" w16cid:durableId="937830974">
    <w:abstractNumId w:val="32"/>
  </w:num>
  <w:num w:numId="13" w16cid:durableId="1311669074">
    <w:abstractNumId w:val="27"/>
  </w:num>
  <w:num w:numId="14" w16cid:durableId="1241059685">
    <w:abstractNumId w:val="26"/>
  </w:num>
  <w:num w:numId="15" w16cid:durableId="2138598035">
    <w:abstractNumId w:val="2"/>
  </w:num>
  <w:num w:numId="16" w16cid:durableId="1676764879">
    <w:abstractNumId w:val="33"/>
  </w:num>
  <w:num w:numId="17" w16cid:durableId="1758669902">
    <w:abstractNumId w:val="24"/>
  </w:num>
  <w:num w:numId="18" w16cid:durableId="1935357735">
    <w:abstractNumId w:val="9"/>
  </w:num>
  <w:num w:numId="19" w16cid:durableId="382631689">
    <w:abstractNumId w:val="31"/>
  </w:num>
  <w:num w:numId="20" w16cid:durableId="1163424478">
    <w:abstractNumId w:val="23"/>
  </w:num>
  <w:num w:numId="21" w16cid:durableId="156192729">
    <w:abstractNumId w:val="19"/>
  </w:num>
  <w:num w:numId="22" w16cid:durableId="1930310314">
    <w:abstractNumId w:val="30"/>
  </w:num>
  <w:num w:numId="23" w16cid:durableId="922880505">
    <w:abstractNumId w:val="21"/>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7"/>
  </w:num>
  <w:num w:numId="31" w16cid:durableId="797454649">
    <w:abstractNumId w:val="0"/>
  </w:num>
  <w:num w:numId="32" w16cid:durableId="690300823">
    <w:abstractNumId w:val="15"/>
  </w:num>
  <w:num w:numId="33" w16cid:durableId="468937630">
    <w:abstractNumId w:val="22"/>
  </w:num>
  <w:num w:numId="34" w16cid:durableId="208406496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6340B"/>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C7BEE"/>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097"/>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45347"/>
    <w:rsid w:val="00554FCF"/>
    <w:rsid w:val="00561723"/>
    <w:rsid w:val="00590DC3"/>
    <w:rsid w:val="005A2C0F"/>
    <w:rsid w:val="005A2D91"/>
    <w:rsid w:val="005C49AB"/>
    <w:rsid w:val="005C7333"/>
    <w:rsid w:val="005D3173"/>
    <w:rsid w:val="005D5BD1"/>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029"/>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41F22"/>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A07B5"/>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A3D4F"/>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42BE"/>
    <w:rsid w:val="00EE6C2D"/>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qFormat/>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0"/>
      </w:numPr>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 w:type="paragraph" w:customStyle="1" w:styleId="EndNoteBibliography">
    <w:name w:val="EndNote Bibliography"/>
    <w:basedOn w:val="Normal"/>
    <w:link w:val="EndNoteBibliographyChar"/>
    <w:rsid w:val="001C7BEE"/>
    <w:pPr>
      <w:spacing w:line="240" w:lineRule="auto"/>
    </w:pPr>
    <w:rPr>
      <w:rFonts w:cs="Arial"/>
      <w:noProof/>
      <w:lang w:val="en-US"/>
    </w:rPr>
  </w:style>
  <w:style w:type="character" w:customStyle="1" w:styleId="EndNoteBibliographyChar">
    <w:name w:val="EndNote Bibliography Char"/>
    <w:link w:val="EndNoteBibliography"/>
    <w:rsid w:val="001C7BEE"/>
    <w:rPr>
      <w:rFonts w:ascii="Arial" w:eastAsia="Calibri" w:hAnsi="Arial" w:cs="Arial"/>
      <w:noProo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9F464-91B5-4640-8604-589C3727768D}">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fcbb744a-7f82-41b7-a756-bec761ac2a3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C1655F-C16A-40A5-8656-B0D72D45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4.xml><?xml version="1.0" encoding="utf-8"?>
<ds:datastoreItem xmlns:ds="http://schemas.openxmlformats.org/officeDocument/2006/customXml" ds:itemID="{E4BF255C-9D06-4320-A83A-361BA5CFD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RCPathdocument</Template>
  <TotalTime>4</TotalTime>
  <Pages>12</Pages>
  <Words>1646</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Reece Carfrae</cp:lastModifiedBy>
  <cp:revision>3</cp:revision>
  <cp:lastPrinted>2011-10-27T15:55:00Z</cp:lastPrinted>
  <dcterms:created xsi:type="dcterms:W3CDTF">2024-12-12T10:27:00Z</dcterms:created>
  <dcterms:modified xsi:type="dcterms:W3CDTF">2024-12-23T10:11:00Z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