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A5" w14:textId="00CD9CE4" w:rsidR="00D445BA" w:rsidRPr="00077B16" w:rsidRDefault="0085781D" w:rsidP="00876760">
      <w:pPr>
        <w:pStyle w:val="Heading2"/>
      </w:pPr>
      <w:r w:rsidRPr="00035053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9F45A0" w:rsidRPr="00077B16" w14:paraId="12ECF8AC" w14:textId="77777777" w:rsidTr="00874EB1">
        <w:trPr>
          <w:trHeight w:val="20"/>
        </w:trPr>
        <w:tc>
          <w:tcPr>
            <w:tcW w:w="183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790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874EB1">
        <w:trPr>
          <w:trHeight w:val="20"/>
        </w:trPr>
        <w:tc>
          <w:tcPr>
            <w:tcW w:w="183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790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874EB1">
        <w:trPr>
          <w:trHeight w:val="20"/>
        </w:trPr>
        <w:tc>
          <w:tcPr>
            <w:tcW w:w="183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790" w:type="dxa"/>
          </w:tcPr>
          <w:p w14:paraId="645C2A8E" w14:textId="64A6BA73" w:rsidR="009F45A0" w:rsidRPr="009349D7" w:rsidRDefault="000F03EB" w:rsidP="00952DFE">
            <w:r w:rsidRPr="00F333F7">
              <w:rPr>
                <w:rFonts w:cs="Arial"/>
                <w:color w:val="000000"/>
              </w:rPr>
              <w:t>Haematology</w:t>
            </w:r>
          </w:p>
        </w:tc>
      </w:tr>
      <w:tr w:rsidR="00C74CCE" w:rsidRPr="00077B16" w14:paraId="13EFC558" w14:textId="77777777" w:rsidTr="00874EB1">
        <w:trPr>
          <w:trHeight w:val="20"/>
        </w:trPr>
        <w:tc>
          <w:tcPr>
            <w:tcW w:w="1838" w:type="dxa"/>
          </w:tcPr>
          <w:p w14:paraId="3A56FE41" w14:textId="77777777" w:rsidR="00C74CCE" w:rsidRPr="009349D7" w:rsidRDefault="00C74CCE" w:rsidP="00C74CCE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790" w:type="dxa"/>
          </w:tcPr>
          <w:p w14:paraId="557F6919" w14:textId="1F8D8CD0" w:rsidR="00227054" w:rsidRPr="00227054" w:rsidRDefault="00227054" w:rsidP="00227054">
            <w:pPr>
              <w:rPr>
                <w:b/>
                <w:bCs/>
              </w:rPr>
            </w:pPr>
            <w:r w:rsidRPr="00227054">
              <w:rPr>
                <w:b/>
                <w:bCs/>
              </w:rPr>
              <w:t xml:space="preserve">An audit of compliance with the British Society for Haematology guideline </w:t>
            </w:r>
            <w:r w:rsidR="00A1535B" w:rsidRPr="00E24353">
              <w:rPr>
                <w:b/>
                <w:bCs/>
              </w:rPr>
              <w:t>on the screening and diagnosis of significant haemoglobinopathies</w:t>
            </w:r>
          </w:p>
        </w:tc>
      </w:tr>
      <w:tr w:rsidR="00C74CCE" w:rsidRPr="00077B16" w14:paraId="2B750D7A" w14:textId="77777777" w:rsidTr="00874EB1">
        <w:trPr>
          <w:trHeight w:val="20"/>
        </w:trPr>
        <w:tc>
          <w:tcPr>
            <w:tcW w:w="1838" w:type="dxa"/>
          </w:tcPr>
          <w:p w14:paraId="70726B9A" w14:textId="77777777" w:rsidR="00C74CCE" w:rsidRPr="009349D7" w:rsidRDefault="00C74CCE" w:rsidP="00C74CCE">
            <w:pPr>
              <w:pStyle w:val="Rowheading"/>
            </w:pPr>
            <w:r w:rsidRPr="009349D7">
              <w:t>Background</w:t>
            </w:r>
          </w:p>
        </w:tc>
        <w:tc>
          <w:tcPr>
            <w:tcW w:w="7790" w:type="dxa"/>
          </w:tcPr>
          <w:p w14:paraId="63BED818" w14:textId="145FBAAB" w:rsidR="00C74CCE" w:rsidRPr="009349D7" w:rsidRDefault="00227054" w:rsidP="00C74CCE">
            <w:r w:rsidRPr="00227054">
              <w:t>The British Society for Haematology (BSH) has published guidance on the screening and diagnosis of significant haemoglobinopathies.</w:t>
            </w:r>
            <w:r w:rsidR="00844142" w:rsidRPr="00E24353">
              <w:rPr>
                <w:vertAlign w:val="superscript"/>
              </w:rPr>
              <w:t>1</w:t>
            </w:r>
            <w:r w:rsidRPr="00227054">
              <w:t xml:space="preserve"> This audit will review compliance with some of the main recommendations.</w:t>
            </w:r>
          </w:p>
        </w:tc>
      </w:tr>
      <w:tr w:rsidR="00402330" w:rsidRPr="00077B16" w14:paraId="0F7C86E3" w14:textId="77777777" w:rsidTr="00874EB1">
        <w:trPr>
          <w:trHeight w:val="20"/>
        </w:trPr>
        <w:tc>
          <w:tcPr>
            <w:tcW w:w="1838" w:type="dxa"/>
          </w:tcPr>
          <w:p w14:paraId="4492C55B" w14:textId="121BA009" w:rsidR="00402330" w:rsidRPr="009349D7" w:rsidRDefault="00402330" w:rsidP="00402330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790" w:type="dxa"/>
          </w:tcPr>
          <w:p w14:paraId="6E9A9DAC" w14:textId="77777777" w:rsidR="00C74CCE" w:rsidRDefault="00C74CCE" w:rsidP="00C74CCE">
            <w:r w:rsidRPr="00A03881">
              <w:t>To review whether:</w:t>
            </w:r>
          </w:p>
          <w:p w14:paraId="39F6C11B" w14:textId="3788E0F4" w:rsidR="00227054" w:rsidRPr="00227054" w:rsidRDefault="00844142" w:rsidP="00844142">
            <w:pPr>
              <w:pStyle w:val="ListParagraph"/>
            </w:pPr>
            <w:r>
              <w:t>p</w:t>
            </w:r>
            <w:r w:rsidR="00227054" w:rsidRPr="00844142">
              <w:t>atients</w:t>
            </w:r>
            <w:r w:rsidR="00227054" w:rsidRPr="00227054">
              <w:t xml:space="preserve"> with significant haemoglobinopathies are being screened, tested and managed in an appropriate way</w:t>
            </w:r>
          </w:p>
          <w:p w14:paraId="4DAA0B33" w14:textId="192AB846" w:rsidR="00402330" w:rsidRPr="00781C28" w:rsidRDefault="00844142" w:rsidP="00227054">
            <w:pPr>
              <w:pStyle w:val="ListParagraph"/>
            </w:pPr>
            <w:r>
              <w:t>i</w:t>
            </w:r>
            <w:r w:rsidR="00227054" w:rsidRPr="006C60D3">
              <w:t>nvestigations are being performed appropriately</w:t>
            </w:r>
            <w:r>
              <w:t>.</w:t>
            </w:r>
          </w:p>
        </w:tc>
      </w:tr>
      <w:tr w:rsidR="00402330" w:rsidRPr="00077B16" w14:paraId="4FF25260" w14:textId="77777777" w:rsidTr="00874EB1">
        <w:trPr>
          <w:trHeight w:val="20"/>
        </w:trPr>
        <w:tc>
          <w:tcPr>
            <w:tcW w:w="1838" w:type="dxa"/>
          </w:tcPr>
          <w:p w14:paraId="374F6066" w14:textId="664AEB7E" w:rsidR="00402330" w:rsidRPr="009349D7" w:rsidRDefault="00402330" w:rsidP="00402330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790" w:type="dxa"/>
          </w:tcPr>
          <w:p w14:paraId="28DFF465" w14:textId="48F85860" w:rsidR="00402330" w:rsidRDefault="00402330" w:rsidP="00402330">
            <w:pPr>
              <w:rPr>
                <w:rFonts w:cs="Arial"/>
                <w:color w:val="000000"/>
              </w:rPr>
            </w:pPr>
            <w:r w:rsidRPr="00214694">
              <w:rPr>
                <w:rFonts w:cs="Arial"/>
                <w:b/>
                <w:bCs/>
                <w:color w:val="000000"/>
              </w:rPr>
              <w:t>Criteria range:</w:t>
            </w:r>
            <w:r w:rsidRPr="00214694">
              <w:rPr>
                <w:rFonts w:cs="Arial"/>
                <w:color w:val="000000"/>
              </w:rPr>
              <w:t xml:space="preserve"> 100%, or if not achieved, there is documentation in the case notes that explains the variance.</w:t>
            </w:r>
          </w:p>
          <w:p w14:paraId="558D67E0" w14:textId="16EC21C9" w:rsidR="00227054" w:rsidRPr="00E24353" w:rsidRDefault="00227054" w:rsidP="00227054">
            <w:pPr>
              <w:ind w:left="-17"/>
              <w:rPr>
                <w:rFonts w:cs="Arial"/>
                <w:b/>
                <w:bCs/>
                <w:color w:val="000000"/>
              </w:rPr>
            </w:pPr>
            <w:r w:rsidRPr="00E24353">
              <w:rPr>
                <w:rFonts w:cs="Arial"/>
                <w:b/>
                <w:bCs/>
                <w:color w:val="000000"/>
              </w:rPr>
              <w:t>Assessment of abnormal antenatal screening results</w:t>
            </w:r>
          </w:p>
          <w:p w14:paraId="2CD6D325" w14:textId="0BD06575" w:rsidR="00227054" w:rsidRDefault="00227054" w:rsidP="00E24353">
            <w:pPr>
              <w:pStyle w:val="Numberedlist"/>
            </w:pPr>
            <w:r w:rsidRPr="00D734BA">
              <w:t>The suspected presence of a significant variant of haemoglobin</w:t>
            </w:r>
            <w:r>
              <w:t xml:space="preserve"> (Hb)</w:t>
            </w:r>
            <w:r w:rsidRPr="00D734BA">
              <w:t xml:space="preserve"> should be confirmed by a suitable alternative method</w:t>
            </w:r>
            <w:r w:rsidR="00562B52">
              <w:t>.</w:t>
            </w:r>
          </w:p>
          <w:p w14:paraId="486EF2F4" w14:textId="6E74C6C2" w:rsidR="00227054" w:rsidRPr="001B59F8" w:rsidRDefault="00227054" w:rsidP="00E24353">
            <w:pPr>
              <w:pStyle w:val="Numberedlist"/>
            </w:pPr>
            <w:r w:rsidRPr="001B59F8">
              <w:t>All patients with low mean cell haemoglobin (MCH) and high Hb A2 percentage should have a report of β thalassaemia</w:t>
            </w:r>
            <w:r w:rsidR="00562B52">
              <w:t>.</w:t>
            </w:r>
          </w:p>
          <w:p w14:paraId="636B638A" w14:textId="3D418C15" w:rsidR="00227054" w:rsidRPr="001B59F8" w:rsidRDefault="00227054" w:rsidP="00E24353">
            <w:pPr>
              <w:pStyle w:val="Numberedlist"/>
            </w:pPr>
            <w:r w:rsidRPr="001B59F8">
              <w:t>The reports of β thalassaemia for patients with low MCH and high Hb A2 percentage should not be done with DNA testing</w:t>
            </w:r>
            <w:r w:rsidR="00562B52">
              <w:t>.</w:t>
            </w:r>
          </w:p>
          <w:p w14:paraId="29D68A5D" w14:textId="77777777" w:rsidR="00227054" w:rsidRPr="00E24353" w:rsidRDefault="00227054" w:rsidP="00227054">
            <w:pPr>
              <w:ind w:left="-17"/>
              <w:rPr>
                <w:rFonts w:cs="Arial"/>
                <w:b/>
                <w:bCs/>
                <w:color w:val="000000"/>
              </w:rPr>
            </w:pPr>
            <w:r w:rsidRPr="00E24353">
              <w:rPr>
                <w:rFonts w:cs="Arial"/>
                <w:b/>
                <w:bCs/>
                <w:color w:val="000000"/>
              </w:rPr>
              <w:lastRenderedPageBreak/>
              <w:t xml:space="preserve">Newborn screening </w:t>
            </w:r>
          </w:p>
          <w:p w14:paraId="2686D479" w14:textId="5DF2FC6F" w:rsidR="00227054" w:rsidRPr="00D734BA" w:rsidRDefault="00227054" w:rsidP="00E24353">
            <w:pPr>
              <w:pStyle w:val="Numberedlist"/>
              <w:numPr>
                <w:ilvl w:val="0"/>
                <w:numId w:val="38"/>
              </w:numPr>
              <w:ind w:left="425" w:hanging="425"/>
            </w:pPr>
            <w:r w:rsidRPr="00D734BA">
              <w:t xml:space="preserve">Babies </w:t>
            </w:r>
            <w:r>
              <w:t>with suspected</w:t>
            </w:r>
            <w:r w:rsidRPr="00D734BA">
              <w:t xml:space="preserve"> β thalassaemia major/</w:t>
            </w:r>
            <w:r>
              <w:t>transfusion-dependent thalassaemia (</w:t>
            </w:r>
            <w:r w:rsidRPr="00D734BA">
              <w:t>TDT</w:t>
            </w:r>
            <w:r>
              <w:t>)</w:t>
            </w:r>
            <w:r w:rsidRPr="00D734BA">
              <w:t xml:space="preserve">, </w:t>
            </w:r>
            <w:r>
              <w:t>based on</w:t>
            </w:r>
            <w:r w:rsidRPr="00D734BA">
              <w:t xml:space="preserve"> there</w:t>
            </w:r>
            <w:r>
              <w:t xml:space="preserve"> </w:t>
            </w:r>
            <w:r w:rsidRPr="00D734BA">
              <w:t>being Hb F only or only a low concentration of Hb A, must be followed up and further testing performed</w:t>
            </w:r>
            <w:r w:rsidR="00562B52">
              <w:t>.</w:t>
            </w:r>
          </w:p>
          <w:p w14:paraId="1D91F2C3" w14:textId="2AF55169" w:rsidR="00227054" w:rsidRPr="00D734BA" w:rsidRDefault="00227054" w:rsidP="00E24353">
            <w:pPr>
              <w:pStyle w:val="Numberedlist"/>
            </w:pPr>
            <w:r w:rsidRPr="00D734BA">
              <w:t>Detection of a significant</w:t>
            </w:r>
            <w:r>
              <w:t xml:space="preserve"> </w:t>
            </w:r>
            <w:r w:rsidRPr="00D734BA">
              <w:t>abnormality</w:t>
            </w:r>
            <w:r>
              <w:t xml:space="preserve"> </w:t>
            </w:r>
            <w:r w:rsidRPr="00D734BA">
              <w:t>should</w:t>
            </w:r>
            <w:r>
              <w:t xml:space="preserve"> </w:t>
            </w:r>
            <w:r w:rsidRPr="00D734BA">
              <w:t>be</w:t>
            </w:r>
            <w:r>
              <w:t xml:space="preserve"> </w:t>
            </w:r>
            <w:r w:rsidRPr="00D734BA">
              <w:t>followed by further testing to achieve a definitive diagnosis</w:t>
            </w:r>
            <w:r w:rsidR="00562B52">
              <w:t>.</w:t>
            </w:r>
          </w:p>
          <w:p w14:paraId="031ADD4A" w14:textId="77777777" w:rsidR="00227054" w:rsidRPr="00E24353" w:rsidRDefault="00227054" w:rsidP="00227054">
            <w:pPr>
              <w:ind w:left="-17"/>
              <w:rPr>
                <w:rFonts w:cs="Arial"/>
                <w:b/>
                <w:bCs/>
                <w:color w:val="000000"/>
              </w:rPr>
            </w:pPr>
            <w:r w:rsidRPr="00E24353">
              <w:rPr>
                <w:rFonts w:cs="Arial"/>
                <w:b/>
                <w:bCs/>
                <w:color w:val="000000"/>
              </w:rPr>
              <w:t>Preoperative/paranaesthesia</w:t>
            </w:r>
          </w:p>
          <w:p w14:paraId="38A80712" w14:textId="56B14047" w:rsidR="00227054" w:rsidRDefault="00227054" w:rsidP="00E24353">
            <w:pPr>
              <w:pStyle w:val="ListParagraph"/>
              <w:numPr>
                <w:ilvl w:val="0"/>
                <w:numId w:val="27"/>
              </w:numPr>
              <w:ind w:left="425" w:hanging="425"/>
              <w:rPr>
                <w:rFonts w:cs="Arial"/>
                <w:color w:val="000000"/>
              </w:rPr>
            </w:pPr>
            <w:r w:rsidRPr="00E24353">
              <w:rPr>
                <w:rStyle w:val="NumberedlistChar"/>
              </w:rPr>
              <w:t>Emergency</w:t>
            </w:r>
            <w:r w:rsidRPr="00705C82">
              <w:rPr>
                <w:rFonts w:cs="Arial"/>
                <w:color w:val="000000"/>
              </w:rPr>
              <w:t xml:space="preserve"> screening with a sickle solubility test or other screening test must always be followed by definitive analysis</w:t>
            </w:r>
            <w:r w:rsidR="00562B52">
              <w:rPr>
                <w:rFonts w:cs="Arial"/>
                <w:color w:val="000000"/>
              </w:rPr>
              <w:t>.</w:t>
            </w:r>
          </w:p>
          <w:p w14:paraId="2124174F" w14:textId="77777777" w:rsidR="00227054" w:rsidRPr="00E24353" w:rsidRDefault="00227054" w:rsidP="00227054">
            <w:pPr>
              <w:ind w:left="-17"/>
              <w:rPr>
                <w:rFonts w:cs="Arial"/>
                <w:b/>
                <w:bCs/>
                <w:color w:val="000000"/>
              </w:rPr>
            </w:pPr>
            <w:r w:rsidRPr="00E24353">
              <w:rPr>
                <w:rFonts w:cs="Arial"/>
                <w:b/>
                <w:bCs/>
                <w:color w:val="000000"/>
              </w:rPr>
              <w:t>Laboratory investigation in the diagnosis and management of clinical disorders</w:t>
            </w:r>
          </w:p>
          <w:p w14:paraId="009EED0C" w14:textId="40E4D3AC" w:rsidR="00227054" w:rsidRDefault="00227054" w:rsidP="00E24353">
            <w:pPr>
              <w:pStyle w:val="Numberedlist"/>
              <w:numPr>
                <w:ilvl w:val="0"/>
                <w:numId w:val="39"/>
              </w:numPr>
              <w:ind w:left="425" w:hanging="425"/>
            </w:pPr>
            <w:r w:rsidRPr="00391630">
              <w:t>Patients with β thalassaemia intermedia/</w:t>
            </w:r>
            <w:r>
              <w:t>non-transfusion dependent thalassaemia (</w:t>
            </w:r>
            <w:r w:rsidRPr="00391630">
              <w:t>NTDT</w:t>
            </w:r>
            <w:r>
              <w:t>)</w:t>
            </w:r>
            <w:r w:rsidRPr="00391630">
              <w:t xml:space="preserve"> being administered hydroxycarbamide or having received gene therapy should have </w:t>
            </w:r>
            <w:r>
              <w:t>Hb</w:t>
            </w:r>
            <w:r w:rsidRPr="00391630">
              <w:t xml:space="preserve"> F monitored</w:t>
            </w:r>
            <w:r w:rsidR="00562B52">
              <w:t>.</w:t>
            </w:r>
          </w:p>
          <w:p w14:paraId="6BF89370" w14:textId="77777777" w:rsidR="00227054" w:rsidRPr="00E24353" w:rsidRDefault="00227054" w:rsidP="00227054">
            <w:pPr>
              <w:keepNext/>
              <w:ind w:left="-17"/>
              <w:rPr>
                <w:rFonts w:cs="Arial"/>
                <w:b/>
                <w:bCs/>
                <w:color w:val="000000"/>
              </w:rPr>
            </w:pPr>
            <w:r w:rsidRPr="00E24353">
              <w:rPr>
                <w:rFonts w:cs="Arial"/>
                <w:b/>
                <w:bCs/>
                <w:color w:val="000000"/>
              </w:rPr>
              <w:t xml:space="preserve">Laboratory methods </w:t>
            </w:r>
          </w:p>
          <w:p w14:paraId="3A3D24BA" w14:textId="55FCB94B" w:rsidR="00227054" w:rsidRPr="004349D8" w:rsidRDefault="00227054" w:rsidP="00E24353">
            <w:pPr>
              <w:pStyle w:val="Numberedlist"/>
              <w:numPr>
                <w:ilvl w:val="0"/>
                <w:numId w:val="40"/>
              </w:numPr>
              <w:ind w:left="425" w:hanging="425"/>
            </w:pPr>
            <w:r w:rsidRPr="00391630">
              <w:t xml:space="preserve">Abnormal laboratory screening results </w:t>
            </w:r>
            <w:r>
              <w:t>should be</w:t>
            </w:r>
            <w:r w:rsidRPr="00391630">
              <w:t xml:space="preserve"> confirmed by a complementary technique</w:t>
            </w:r>
            <w:r>
              <w:t>(s)</w:t>
            </w:r>
            <w:r w:rsidRPr="00391630">
              <w:t xml:space="preserve"> </w:t>
            </w:r>
            <w:r>
              <w:t>and that complementary technique(s) should be appropriate for the abnormality. If the technique(s) was not appropriate, then a third technique should be used</w:t>
            </w:r>
            <w:r w:rsidR="00562B52">
              <w:t>.</w:t>
            </w:r>
          </w:p>
          <w:p w14:paraId="56B6CE4F" w14:textId="48593E94" w:rsidR="00227054" w:rsidRDefault="00227054" w:rsidP="00E24353">
            <w:pPr>
              <w:pStyle w:val="Numberedlist"/>
            </w:pPr>
            <w:r w:rsidRPr="00391630">
              <w:t>All sickle solubility tests should be confirmed by</w:t>
            </w:r>
            <w:r>
              <w:t xml:space="preserve"> high performance liquid chromatography</w:t>
            </w:r>
            <w:r w:rsidRPr="00391630">
              <w:t xml:space="preserve"> </w:t>
            </w:r>
            <w:r>
              <w:t>(</w:t>
            </w:r>
            <w:r w:rsidRPr="00391630">
              <w:t>HPLC</w:t>
            </w:r>
            <w:r>
              <w:t>)</w:t>
            </w:r>
            <w:r w:rsidRPr="00391630">
              <w:t xml:space="preserve">, </w:t>
            </w:r>
            <w:r>
              <w:t>capillary electrophoresis (</w:t>
            </w:r>
            <w:r w:rsidRPr="00391630">
              <w:t>CE</w:t>
            </w:r>
            <w:r>
              <w:t>)</w:t>
            </w:r>
            <w:r w:rsidRPr="00391630">
              <w:t xml:space="preserve"> or an alternative method</w:t>
            </w:r>
            <w:r w:rsidR="00562B52">
              <w:t>.</w:t>
            </w:r>
          </w:p>
          <w:p w14:paraId="3E158544" w14:textId="4D28C7D5" w:rsidR="00227054" w:rsidRDefault="00227054" w:rsidP="00E24353">
            <w:pPr>
              <w:pStyle w:val="Numberedlist"/>
            </w:pPr>
            <w:r>
              <w:t>Paternal tests should ideally be performed after iron results were requested and received</w:t>
            </w:r>
            <w:r w:rsidR="00562B52">
              <w:t>.</w:t>
            </w:r>
          </w:p>
          <w:p w14:paraId="5AA65000" w14:textId="38EAFA0B" w:rsidR="00227054" w:rsidRDefault="00227054" w:rsidP="00E24353">
            <w:pPr>
              <w:pStyle w:val="Numberedlist"/>
              <w:contextualSpacing w:val="0"/>
            </w:pPr>
            <w:r>
              <w:t xml:space="preserve">Laboratories should be aware of the conditions that may not be detected when using the Antenatal and Newborn Screening Programmes’ algorithms </w:t>
            </w:r>
            <w:proofErr w:type="gramStart"/>
            <w:r>
              <w:t>and also</w:t>
            </w:r>
            <w:proofErr w:type="gramEnd"/>
            <w:r>
              <w:t xml:space="preserve"> of the effect of blood transfusion on the interpretation of results</w:t>
            </w:r>
            <w:r w:rsidR="00562B52">
              <w:t>.</w:t>
            </w:r>
          </w:p>
          <w:p w14:paraId="39580916" w14:textId="77777777" w:rsidR="00227054" w:rsidRPr="00E24353" w:rsidRDefault="00227054" w:rsidP="00E24353">
            <w:pPr>
              <w:rPr>
                <w:rFonts w:cs="Arial"/>
                <w:b/>
                <w:bCs/>
                <w:color w:val="000000"/>
              </w:rPr>
            </w:pPr>
            <w:r w:rsidRPr="00E24353">
              <w:rPr>
                <w:rFonts w:cs="Arial"/>
                <w:b/>
                <w:bCs/>
                <w:color w:val="000000"/>
              </w:rPr>
              <w:t>Accurate information of family origin</w:t>
            </w:r>
          </w:p>
          <w:p w14:paraId="44E2E830" w14:textId="42DDEC4C" w:rsidR="00402330" w:rsidRPr="009349D7" w:rsidRDefault="00227054" w:rsidP="00E24353">
            <w:pPr>
              <w:pStyle w:val="Numberedlist"/>
              <w:numPr>
                <w:ilvl w:val="0"/>
                <w:numId w:val="41"/>
              </w:numPr>
              <w:ind w:left="425" w:hanging="425"/>
            </w:pPr>
            <w:r w:rsidRPr="004A250F">
              <w:lastRenderedPageBreak/>
              <w:t xml:space="preserve">A local written policy for linkage of antenatal and neonatal screening services </w:t>
            </w:r>
            <w:r>
              <w:t>should be followed</w:t>
            </w:r>
            <w:r w:rsidRPr="004A250F">
              <w:t>, including the use of the at-risk pregnancy alert form</w:t>
            </w:r>
            <w:r w:rsidR="00562B52">
              <w:t>.</w:t>
            </w:r>
          </w:p>
        </w:tc>
      </w:tr>
      <w:tr w:rsidR="00402330" w:rsidRPr="00077B16" w14:paraId="14094681" w14:textId="77777777" w:rsidTr="00D54962">
        <w:trPr>
          <w:cantSplit/>
          <w:trHeight w:val="20"/>
        </w:trPr>
        <w:tc>
          <w:tcPr>
            <w:tcW w:w="1838" w:type="dxa"/>
          </w:tcPr>
          <w:p w14:paraId="1E4F1E05" w14:textId="77777777" w:rsidR="00402330" w:rsidRPr="009349D7" w:rsidRDefault="00402330" w:rsidP="0040233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790" w:type="dxa"/>
          </w:tcPr>
          <w:p w14:paraId="7E199738" w14:textId="4F362B64" w:rsidR="00402330" w:rsidRDefault="00402330" w:rsidP="00227054">
            <w:pPr>
              <w:pStyle w:val="ColorfulList-Accent11"/>
              <w:tabs>
                <w:tab w:val="left" w:pos="0"/>
                <w:tab w:val="left" w:pos="2480"/>
              </w:tabs>
              <w:ind w:left="0"/>
              <w:rPr>
                <w:rFonts w:cs="Arial"/>
              </w:rPr>
            </w:pPr>
            <w:r w:rsidRPr="00560923">
              <w:rPr>
                <w:rFonts w:cs="Arial"/>
                <w:b/>
              </w:rPr>
              <w:t>Sample selection</w:t>
            </w:r>
            <w:r w:rsidR="00227054">
              <w:rPr>
                <w:rFonts w:cs="Arial"/>
                <w:b/>
              </w:rPr>
              <w:t xml:space="preserve"> </w:t>
            </w:r>
            <w:r w:rsidR="00227054">
              <w:rPr>
                <w:rFonts w:cs="Arial"/>
                <w:b/>
              </w:rPr>
              <w:t>(as appropriate)</w:t>
            </w:r>
            <w:r w:rsidR="00227054" w:rsidRPr="00560923">
              <w:rPr>
                <w:rFonts w:cs="Arial"/>
                <w:b/>
                <w:bCs/>
              </w:rPr>
              <w:t>:</w:t>
            </w:r>
          </w:p>
          <w:p w14:paraId="19AA1254" w14:textId="77777777" w:rsidR="00227054" w:rsidRPr="00E24353" w:rsidRDefault="00227054" w:rsidP="00E24353">
            <w:pPr>
              <w:pStyle w:val="ListParagraph"/>
            </w:pPr>
            <w:r w:rsidRPr="00E24353">
              <w:t>For pre-operative or screening patients, all individuals who have received a haemoglobinopathy report in the preceding 12 months, up to a maximum of 50 patients</w:t>
            </w:r>
          </w:p>
          <w:p w14:paraId="2C8DD6EA" w14:textId="2DEEAB87" w:rsidR="00227054" w:rsidRPr="00E24353" w:rsidRDefault="00562B52" w:rsidP="00E24353">
            <w:pPr>
              <w:tabs>
                <w:tab w:val="left" w:pos="750"/>
              </w:tabs>
              <w:spacing w:after="120" w:line="259" w:lineRule="auto"/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E24353">
              <w:rPr>
                <w:rFonts w:cs="Arial"/>
              </w:rPr>
              <w:t xml:space="preserve">r </w:t>
            </w:r>
          </w:p>
          <w:p w14:paraId="56ACCB67" w14:textId="38371A7B" w:rsidR="00410C1A" w:rsidRPr="00E24353" w:rsidRDefault="00562B52" w:rsidP="00E24353">
            <w:pPr>
              <w:pStyle w:val="ListParagraph"/>
            </w:pPr>
            <w:r>
              <w:t>f</w:t>
            </w:r>
            <w:r w:rsidRPr="00E24353">
              <w:t xml:space="preserve">or </w:t>
            </w:r>
            <w:r w:rsidR="00227054" w:rsidRPr="00E24353">
              <w:t>diagnosis patients, all individuals who have received a haemoglobinopathy report in the preceding 12 months, up to a maximum of 20 patients</w:t>
            </w:r>
            <w:r w:rsidR="00227054" w:rsidRPr="00E24353">
              <w:t>.</w:t>
            </w:r>
          </w:p>
          <w:p w14:paraId="2E47D027" w14:textId="6950AA93" w:rsidR="00402330" w:rsidRPr="009349D7" w:rsidRDefault="00402330" w:rsidP="00402330">
            <w:pPr>
              <w:rPr>
                <w:color w:val="000000"/>
              </w:rPr>
            </w:pPr>
            <w:r w:rsidRPr="00560923">
              <w:rPr>
                <w:rFonts w:cs="Arial"/>
                <w:b/>
                <w:bCs/>
              </w:rPr>
              <w:t>Data to be collected on proforma (see below)</w:t>
            </w:r>
          </w:p>
        </w:tc>
      </w:tr>
      <w:tr w:rsidR="00402330" w:rsidRPr="00077B16" w14:paraId="4EF29E2B" w14:textId="77777777" w:rsidTr="00874EB1">
        <w:trPr>
          <w:trHeight w:val="20"/>
        </w:trPr>
        <w:tc>
          <w:tcPr>
            <w:tcW w:w="1838" w:type="dxa"/>
          </w:tcPr>
          <w:p w14:paraId="42E290A4" w14:textId="77777777" w:rsidR="00402330" w:rsidRPr="009349D7" w:rsidRDefault="00402330" w:rsidP="00402330">
            <w:pPr>
              <w:pStyle w:val="Rowheading"/>
            </w:pPr>
            <w:r w:rsidRPr="009349D7">
              <w:t>Results</w:t>
            </w:r>
          </w:p>
        </w:tc>
        <w:tc>
          <w:tcPr>
            <w:tcW w:w="7790" w:type="dxa"/>
          </w:tcPr>
          <w:p w14:paraId="08D3ABE3" w14:textId="77777777" w:rsidR="00402330" w:rsidRPr="009349D7" w:rsidRDefault="00402330" w:rsidP="00402330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402330" w:rsidRPr="009349D7" w:rsidRDefault="00402330" w:rsidP="00402330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5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34"/>
              <w:gridCol w:w="1417"/>
              <w:gridCol w:w="1581"/>
            </w:tblGrid>
            <w:tr w:rsidR="00CA67FB" w:rsidRPr="007E0C14" w14:paraId="2582D5DA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2A54EF53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Investigation</w:t>
                  </w:r>
                </w:p>
              </w:tc>
              <w:tc>
                <w:tcPr>
                  <w:tcW w:w="1134" w:type="dxa"/>
                </w:tcPr>
                <w:p w14:paraId="176E1CD8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No. audited</w:t>
                  </w:r>
                </w:p>
              </w:tc>
              <w:tc>
                <w:tcPr>
                  <w:tcW w:w="1417" w:type="dxa"/>
                </w:tcPr>
                <w:p w14:paraId="76554E33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No. compliant</w:t>
                  </w:r>
                </w:p>
              </w:tc>
              <w:tc>
                <w:tcPr>
                  <w:tcW w:w="1581" w:type="dxa"/>
                </w:tcPr>
                <w:p w14:paraId="41A60286" w14:textId="77777777" w:rsidR="00402330" w:rsidRPr="00C43A5D" w:rsidRDefault="00402330" w:rsidP="00402330">
                  <w:pPr>
                    <w:rPr>
                      <w:rFonts w:cs="Arial"/>
                      <w:b/>
                      <w:color w:val="000000"/>
                      <w:szCs w:val="24"/>
                    </w:rPr>
                  </w:pPr>
                  <w:r w:rsidRPr="00C43A5D">
                    <w:rPr>
                      <w:rFonts w:cs="Arial"/>
                      <w:b/>
                      <w:color w:val="000000"/>
                      <w:szCs w:val="24"/>
                    </w:rPr>
                    <w:t>% compliance</w:t>
                  </w:r>
                </w:p>
              </w:tc>
            </w:tr>
            <w:tr w:rsidR="00227054" w:rsidRPr="00C80194" w14:paraId="7B1CE632" w14:textId="77777777" w:rsidTr="00844142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30760DDE" w14:textId="340A33AA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  <w:r w:rsidRPr="001B59F8">
                    <w:rPr>
                      <w:rFonts w:cs="Arial"/>
                      <w:b/>
                      <w:bCs/>
                      <w:color w:val="000000"/>
                    </w:rPr>
                    <w:t>Assessment of abnormal antenatal screening results</w:t>
                  </w:r>
                </w:p>
              </w:tc>
            </w:tr>
            <w:tr w:rsidR="00227054" w:rsidRPr="00C80194" w14:paraId="6FED06C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3A4D2BB4" w14:textId="380C441A" w:rsidR="00227054" w:rsidRPr="00562B52" w:rsidRDefault="00227054" w:rsidP="00E24353">
                  <w:pPr>
                    <w:pStyle w:val="Numberedlist"/>
                    <w:numPr>
                      <w:ilvl w:val="0"/>
                      <w:numId w:val="42"/>
                    </w:numPr>
                    <w:ind w:left="425" w:hanging="425"/>
                    <w:rPr>
                      <w:color w:val="000000"/>
                    </w:rPr>
                  </w:pPr>
                  <w:r w:rsidRPr="001B59F8">
                    <w:t>The suspected presence of a significant variant of Hb was confirmed by a suitable alternative method</w:t>
                  </w:r>
                </w:p>
              </w:tc>
              <w:tc>
                <w:tcPr>
                  <w:tcW w:w="1134" w:type="dxa"/>
                </w:tcPr>
                <w:p w14:paraId="3D927215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62F535D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509DF86B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4D051651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CFCA758" w14:textId="499D5E4E" w:rsidR="00227054" w:rsidRPr="00227054" w:rsidRDefault="00227054" w:rsidP="00844142">
                  <w:pPr>
                    <w:pStyle w:val="Numberedlist"/>
                    <w:rPr>
                      <w:color w:val="000000"/>
                    </w:rPr>
                  </w:pPr>
                  <w:r w:rsidRPr="001B59F8">
                    <w:t>All patients with low MCH and high Hb A2 percentage had a report of β thalassaemia</w:t>
                  </w:r>
                </w:p>
              </w:tc>
              <w:tc>
                <w:tcPr>
                  <w:tcW w:w="1134" w:type="dxa"/>
                </w:tcPr>
                <w:p w14:paraId="23ACA11B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0AD3CE3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1058D29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3B74098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26D9FB4" w14:textId="3537AD67" w:rsidR="00227054" w:rsidRPr="00227054" w:rsidRDefault="00227054" w:rsidP="00844142">
                  <w:pPr>
                    <w:pStyle w:val="Numberedlist"/>
                    <w:rPr>
                      <w:color w:val="000000"/>
                    </w:rPr>
                  </w:pPr>
                  <w:r w:rsidRPr="001B59F8">
                    <w:t>The reports of β thalassaemia for patients with low MCH and high Hb A2 percentage were not done with DNA testing</w:t>
                  </w:r>
                </w:p>
              </w:tc>
              <w:tc>
                <w:tcPr>
                  <w:tcW w:w="1134" w:type="dxa"/>
                </w:tcPr>
                <w:p w14:paraId="1294677A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625277CE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10CAF46D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00D00875" w14:textId="77777777" w:rsidTr="00844142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54C7353A" w14:textId="27A2077E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  <w:r w:rsidRPr="001B59F8">
                    <w:rPr>
                      <w:rFonts w:cs="Arial"/>
                      <w:b/>
                      <w:bCs/>
                      <w:color w:val="000000"/>
                    </w:rPr>
                    <w:lastRenderedPageBreak/>
                    <w:t>Newborn screening</w:t>
                  </w:r>
                </w:p>
              </w:tc>
            </w:tr>
            <w:tr w:rsidR="00227054" w:rsidRPr="00C80194" w14:paraId="742F6E9C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5ADC8BC0" w14:textId="39FD07DB" w:rsidR="00227054" w:rsidRPr="00844142" w:rsidRDefault="00227054" w:rsidP="00E24353">
                  <w:pPr>
                    <w:pStyle w:val="Numberedlist"/>
                    <w:numPr>
                      <w:ilvl w:val="0"/>
                      <w:numId w:val="32"/>
                    </w:numPr>
                    <w:ind w:left="425" w:hanging="425"/>
                    <w:rPr>
                      <w:color w:val="000000"/>
                    </w:rPr>
                  </w:pPr>
                  <w:r w:rsidRPr="001B59F8">
                    <w:t>Babies with suspected β thalassaemia major/TDT, based on there being Hb F only or only a low concentration of Hb A, were followed up and further testing was performed</w:t>
                  </w:r>
                </w:p>
              </w:tc>
              <w:tc>
                <w:tcPr>
                  <w:tcW w:w="1134" w:type="dxa"/>
                </w:tcPr>
                <w:p w14:paraId="59EA2B2D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78742CE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6B1A8A10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30A86817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07B0C4A6" w14:textId="0DCE0B79" w:rsidR="00227054" w:rsidRDefault="00227054" w:rsidP="00844142">
                  <w:pPr>
                    <w:pStyle w:val="Numberedlist"/>
                    <w:rPr>
                      <w:color w:val="000000"/>
                    </w:rPr>
                  </w:pPr>
                  <w:r w:rsidRPr="001B59F8">
                    <w:t>Detection of a significant abnormality was followed by further testing to achieve a definitive diagnosis</w:t>
                  </w:r>
                </w:p>
              </w:tc>
              <w:tc>
                <w:tcPr>
                  <w:tcW w:w="1134" w:type="dxa"/>
                </w:tcPr>
                <w:p w14:paraId="2374C1A3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51355FEF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7AE25E0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10F24205" w14:textId="77777777" w:rsidTr="00844142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2D25E51E" w14:textId="77729DC1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  <w:r w:rsidRPr="001B59F8">
                    <w:rPr>
                      <w:rFonts w:cs="Arial"/>
                      <w:b/>
                      <w:bCs/>
                      <w:color w:val="000000"/>
                    </w:rPr>
                    <w:t>Preoperative/paranaesthesia</w:t>
                  </w:r>
                </w:p>
              </w:tc>
            </w:tr>
            <w:tr w:rsidR="00227054" w:rsidRPr="00C80194" w14:paraId="1C23F839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4BF32259" w14:textId="6380B80F" w:rsidR="00227054" w:rsidRPr="00844142" w:rsidRDefault="00227054" w:rsidP="00E24353">
                  <w:pPr>
                    <w:pStyle w:val="Numberedlist"/>
                    <w:numPr>
                      <w:ilvl w:val="0"/>
                      <w:numId w:val="33"/>
                    </w:numPr>
                    <w:ind w:left="425" w:hanging="425"/>
                    <w:rPr>
                      <w:color w:val="000000"/>
                    </w:rPr>
                  </w:pPr>
                  <w:r w:rsidRPr="001B59F8">
                    <w:t>Emergency screening with a sickle solubility test or other screening tests were always followed by definitive analysis</w:t>
                  </w:r>
                </w:p>
              </w:tc>
              <w:tc>
                <w:tcPr>
                  <w:tcW w:w="1134" w:type="dxa"/>
                </w:tcPr>
                <w:p w14:paraId="4979915D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57CA7F3D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E803AED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0FE2CF2C" w14:textId="77777777" w:rsidTr="00844142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01EA2D91" w14:textId="046204A4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  <w:r w:rsidRPr="001B59F8">
                    <w:rPr>
                      <w:rFonts w:cs="Arial"/>
                      <w:b/>
                      <w:bCs/>
                      <w:color w:val="000000"/>
                    </w:rPr>
                    <w:t>Laboratory investigation in the diagnosis and management of clinical disorders</w:t>
                  </w:r>
                </w:p>
              </w:tc>
            </w:tr>
            <w:tr w:rsidR="00227054" w:rsidRPr="00C80194" w14:paraId="31B090FB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7531D5A" w14:textId="46C38D9E" w:rsidR="00227054" w:rsidRPr="001B59F8" w:rsidRDefault="00227054" w:rsidP="00E24353">
                  <w:pPr>
                    <w:pStyle w:val="Numberedlist"/>
                    <w:numPr>
                      <w:ilvl w:val="0"/>
                      <w:numId w:val="34"/>
                    </w:numPr>
                    <w:ind w:left="425" w:hanging="425"/>
                  </w:pPr>
                  <w:r w:rsidRPr="001B59F8">
                    <w:t>Patients with β thalassaemia intermedia/NTDT being administered hydroxycarbamide or having received gene therapy underwent Hb F monitoring</w:t>
                  </w:r>
                </w:p>
              </w:tc>
              <w:tc>
                <w:tcPr>
                  <w:tcW w:w="1134" w:type="dxa"/>
                </w:tcPr>
                <w:p w14:paraId="6A99C1DC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27AF0FA8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1F867BE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487ED0B0" w14:textId="77777777" w:rsidTr="00844142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084B36B7" w14:textId="443D6696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  <w:r w:rsidRPr="001B59F8">
                    <w:rPr>
                      <w:rFonts w:cs="Arial"/>
                      <w:b/>
                      <w:bCs/>
                      <w:color w:val="000000"/>
                    </w:rPr>
                    <w:t xml:space="preserve">Laboratory methods </w:t>
                  </w:r>
                </w:p>
              </w:tc>
            </w:tr>
            <w:tr w:rsidR="00227054" w:rsidRPr="00C80194" w14:paraId="07B73C3C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395136F" w14:textId="306CDAEF" w:rsidR="00227054" w:rsidRPr="001B59F8" w:rsidRDefault="00227054" w:rsidP="00E24353">
                  <w:pPr>
                    <w:pStyle w:val="Numberedlist"/>
                    <w:numPr>
                      <w:ilvl w:val="0"/>
                      <w:numId w:val="35"/>
                    </w:numPr>
                    <w:ind w:left="425" w:hanging="425"/>
                  </w:pPr>
                  <w:r w:rsidRPr="001B59F8">
                    <w:lastRenderedPageBreak/>
                    <w:t>Abnormal laboratory screening results were confirmed by a complementary technique(s) and that technique(s) was appropriate for the abnormality. If the technique(s) was not appropriate, then a third technique was used</w:t>
                  </w:r>
                </w:p>
              </w:tc>
              <w:tc>
                <w:tcPr>
                  <w:tcW w:w="1134" w:type="dxa"/>
                </w:tcPr>
                <w:p w14:paraId="59174BC9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6DC33C47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75EC5CF6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489AAA24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5ED49B31" w14:textId="5B17D159" w:rsidR="00227054" w:rsidRPr="001B59F8" w:rsidRDefault="00227054" w:rsidP="00E24353">
                  <w:pPr>
                    <w:pStyle w:val="Numberedlist"/>
                    <w:numPr>
                      <w:ilvl w:val="0"/>
                      <w:numId w:val="33"/>
                    </w:numPr>
                    <w:ind w:left="425" w:hanging="425"/>
                  </w:pPr>
                  <w:r w:rsidRPr="001B59F8">
                    <w:t>All sickle solubility tests were confirmed by HPLC, CE or an alternative method</w:t>
                  </w:r>
                </w:p>
              </w:tc>
              <w:tc>
                <w:tcPr>
                  <w:tcW w:w="1134" w:type="dxa"/>
                </w:tcPr>
                <w:p w14:paraId="1D527EEB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0DBC83B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0A9D1E28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798E7C84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747B3508" w14:textId="3BC72AF5" w:rsidR="00227054" w:rsidRPr="001B59F8" w:rsidRDefault="00227054" w:rsidP="00E24353">
                  <w:pPr>
                    <w:pStyle w:val="Numberedlist"/>
                    <w:numPr>
                      <w:ilvl w:val="0"/>
                      <w:numId w:val="33"/>
                    </w:numPr>
                    <w:ind w:left="425" w:hanging="425"/>
                  </w:pPr>
                  <w:r w:rsidRPr="001B59F8">
                    <w:t>Paternal tests were ideally performed after iron results were requested and received</w:t>
                  </w:r>
                </w:p>
              </w:tc>
              <w:tc>
                <w:tcPr>
                  <w:tcW w:w="1134" w:type="dxa"/>
                </w:tcPr>
                <w:p w14:paraId="35AE78AE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1587FF6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3B319E30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227054" w:rsidRPr="00C80194" w14:paraId="5921D8C8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1E1BCBA0" w14:textId="62C7DADC" w:rsidR="00227054" w:rsidRPr="001B59F8" w:rsidRDefault="00227054" w:rsidP="00E24353">
                  <w:pPr>
                    <w:pStyle w:val="Numberedlist"/>
                    <w:numPr>
                      <w:ilvl w:val="0"/>
                      <w:numId w:val="33"/>
                    </w:numPr>
                    <w:ind w:left="425" w:hanging="425"/>
                  </w:pPr>
                  <w:r>
                    <w:t xml:space="preserve">Laboratories were aware of the conditions that may not be detected when using the Antenatal and Newborn Screening Programmes’ algorithms </w:t>
                  </w:r>
                  <w:proofErr w:type="gramStart"/>
                  <w:r>
                    <w:t>and also</w:t>
                  </w:r>
                  <w:proofErr w:type="gramEnd"/>
                  <w:r>
                    <w:t xml:space="preserve"> of the effect of blood transfusion on the interpretation of results</w:t>
                  </w:r>
                </w:p>
              </w:tc>
              <w:tc>
                <w:tcPr>
                  <w:tcW w:w="1134" w:type="dxa"/>
                </w:tcPr>
                <w:p w14:paraId="2B5F6BEE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06BC42C9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7F5ACAC5" w14:textId="77777777" w:rsidR="00227054" w:rsidRPr="00C80194" w:rsidRDefault="00227054" w:rsidP="00227054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44142" w:rsidRPr="00C80194" w14:paraId="5C0FFFDC" w14:textId="77777777" w:rsidTr="00844142">
              <w:tc>
                <w:tcPr>
                  <w:tcW w:w="7564" w:type="dxa"/>
                  <w:gridSpan w:val="4"/>
                  <w:shd w:val="clear" w:color="auto" w:fill="D9D9D9" w:themeFill="background1" w:themeFillShade="D9"/>
                </w:tcPr>
                <w:p w14:paraId="60D164AC" w14:textId="6DF1CA2E" w:rsidR="00844142" w:rsidRPr="00C80194" w:rsidRDefault="00844142" w:rsidP="00844142">
                  <w:pPr>
                    <w:rPr>
                      <w:rFonts w:cs="Arial"/>
                      <w:color w:val="000000"/>
                    </w:rPr>
                  </w:pPr>
                  <w:r w:rsidRPr="001B59F8">
                    <w:rPr>
                      <w:rFonts w:cs="Arial"/>
                      <w:b/>
                      <w:bCs/>
                      <w:color w:val="000000"/>
                    </w:rPr>
                    <w:t>Accurate information of family origin</w:t>
                  </w:r>
                </w:p>
              </w:tc>
            </w:tr>
            <w:tr w:rsidR="00844142" w:rsidRPr="00C80194" w14:paraId="78E173BB" w14:textId="77777777" w:rsidTr="00C43A5D">
              <w:tc>
                <w:tcPr>
                  <w:tcW w:w="3432" w:type="dxa"/>
                  <w:shd w:val="clear" w:color="auto" w:fill="FFFFFF" w:themeFill="background1"/>
                </w:tcPr>
                <w:p w14:paraId="34AC8806" w14:textId="744D5FB8" w:rsidR="00844142" w:rsidRPr="00844142" w:rsidRDefault="00844142" w:rsidP="00E24353">
                  <w:pPr>
                    <w:pStyle w:val="Numberedlist"/>
                    <w:numPr>
                      <w:ilvl w:val="0"/>
                      <w:numId w:val="36"/>
                    </w:numPr>
                    <w:ind w:left="425" w:hanging="425"/>
                  </w:pPr>
                  <w:r w:rsidRPr="00844142">
                    <w:t xml:space="preserve">A local written policy for linkage of antenatal and neonatal screening services was followed, </w:t>
                  </w:r>
                  <w:r w:rsidRPr="00844142">
                    <w:lastRenderedPageBreak/>
                    <w:t>including the use of the at-risk pregnancy alert form</w:t>
                  </w:r>
                </w:p>
              </w:tc>
              <w:tc>
                <w:tcPr>
                  <w:tcW w:w="1134" w:type="dxa"/>
                </w:tcPr>
                <w:p w14:paraId="59EB1356" w14:textId="77777777" w:rsidR="00844142" w:rsidRPr="00C80194" w:rsidRDefault="00844142" w:rsidP="00844142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2A51BD2F" w14:textId="77777777" w:rsidR="00844142" w:rsidRPr="00C80194" w:rsidRDefault="00844142" w:rsidP="00844142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81" w:type="dxa"/>
                </w:tcPr>
                <w:p w14:paraId="1CD37FFB" w14:textId="77777777" w:rsidR="00844142" w:rsidRPr="00C80194" w:rsidRDefault="00844142" w:rsidP="00844142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3689BFB0" w14:textId="77777777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  <w:p w14:paraId="33C1ABC1" w14:textId="1821AEB8" w:rsidR="00402330" w:rsidRPr="0029610F" w:rsidRDefault="00402330" w:rsidP="00402330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402330" w:rsidRPr="009349D7" w:rsidRDefault="00402330" w:rsidP="00402330">
            <w:pPr>
              <w:rPr>
                <w:rFonts w:cs="Arial"/>
                <w:b/>
                <w:szCs w:val="24"/>
              </w:rPr>
            </w:pPr>
          </w:p>
        </w:tc>
      </w:tr>
      <w:tr w:rsidR="00402330" w:rsidRPr="00077B16" w14:paraId="0B06E3F0" w14:textId="77777777" w:rsidTr="00874EB1">
        <w:trPr>
          <w:trHeight w:val="20"/>
        </w:trPr>
        <w:tc>
          <w:tcPr>
            <w:tcW w:w="1838" w:type="dxa"/>
          </w:tcPr>
          <w:p w14:paraId="4CAABCEC" w14:textId="77777777" w:rsidR="00402330" w:rsidRPr="009349D7" w:rsidRDefault="00402330" w:rsidP="0040233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790" w:type="dxa"/>
          </w:tcPr>
          <w:p w14:paraId="54F6617D" w14:textId="2A569065" w:rsidR="00402330" w:rsidRPr="009349D7" w:rsidRDefault="00402330" w:rsidP="0040233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02330" w:rsidRPr="00077B16" w14:paraId="5BF6DC79" w14:textId="77777777" w:rsidTr="00874EB1">
        <w:trPr>
          <w:trHeight w:val="20"/>
        </w:trPr>
        <w:tc>
          <w:tcPr>
            <w:tcW w:w="1838" w:type="dxa"/>
          </w:tcPr>
          <w:p w14:paraId="6ED49695" w14:textId="58C55B8E" w:rsidR="00402330" w:rsidRPr="009349D7" w:rsidRDefault="00402330" w:rsidP="00402330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</w:tc>
        <w:tc>
          <w:tcPr>
            <w:tcW w:w="7790" w:type="dxa"/>
          </w:tcPr>
          <w:p w14:paraId="4CDCB02A" w14:textId="77777777" w:rsidR="00402330" w:rsidRDefault="00402330" w:rsidP="00402330">
            <w:r>
              <w:t>Present the result with recommendations, actions, and responsibilities for action and a timescale for implementation. Assign a person(s) responsible to do the work within a time frame.</w:t>
            </w:r>
          </w:p>
          <w:p w14:paraId="495F1A7E" w14:textId="77777777" w:rsidR="00402330" w:rsidRDefault="00402330" w:rsidP="00402330">
            <w:r>
              <w:t>Some suggestions:</w:t>
            </w:r>
          </w:p>
          <w:p w14:paraId="60882871" w14:textId="4A18F8BE" w:rsidR="00402330" w:rsidRPr="005D7294" w:rsidRDefault="005D7294" w:rsidP="00227054">
            <w:pPr>
              <w:pStyle w:val="ListParagraph"/>
            </w:pPr>
            <w:r>
              <w:t>h</w:t>
            </w:r>
            <w:r w:rsidR="00402330" w:rsidRPr="005D7294">
              <w:t xml:space="preserve">ighlight areas of practice that are different </w:t>
            </w:r>
          </w:p>
          <w:p w14:paraId="1C0DE42A" w14:textId="53CF309B" w:rsidR="00402330" w:rsidRPr="009349D7" w:rsidRDefault="005D7294" w:rsidP="00227054">
            <w:pPr>
              <w:pStyle w:val="ListParagraph"/>
            </w:pPr>
            <w:r>
              <w:t>p</w:t>
            </w:r>
            <w:r w:rsidR="00402330" w:rsidRPr="005D7294">
              <w:t>resent findings</w:t>
            </w:r>
            <w:r w:rsidR="00392DE1">
              <w:t>.</w:t>
            </w:r>
          </w:p>
        </w:tc>
      </w:tr>
      <w:tr w:rsidR="00402330" w:rsidRPr="00077B16" w14:paraId="3AB83BB0" w14:textId="77777777" w:rsidTr="00874EB1">
        <w:trPr>
          <w:trHeight w:val="20"/>
        </w:trPr>
        <w:tc>
          <w:tcPr>
            <w:tcW w:w="1838" w:type="dxa"/>
          </w:tcPr>
          <w:p w14:paraId="7B1DBC85" w14:textId="1FF56588" w:rsidR="00402330" w:rsidRPr="009349D7" w:rsidRDefault="00402330" w:rsidP="00402330">
            <w:pPr>
              <w:pStyle w:val="Rowheading"/>
            </w:pPr>
            <w:r w:rsidRPr="009349D7">
              <w:t>Action plan</w:t>
            </w:r>
          </w:p>
        </w:tc>
        <w:tc>
          <w:tcPr>
            <w:tcW w:w="7790" w:type="dxa"/>
          </w:tcPr>
          <w:p w14:paraId="3ED634E6" w14:textId="3A02274B" w:rsidR="00402330" w:rsidRPr="009349D7" w:rsidRDefault="00402330" w:rsidP="00402330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402330" w:rsidRPr="00077B16" w14:paraId="2456F3A2" w14:textId="77777777" w:rsidTr="00874EB1">
        <w:trPr>
          <w:trHeight w:val="20"/>
        </w:trPr>
        <w:tc>
          <w:tcPr>
            <w:tcW w:w="1838" w:type="dxa"/>
          </w:tcPr>
          <w:p w14:paraId="2874F728" w14:textId="77777777" w:rsidR="00402330" w:rsidRPr="009349D7" w:rsidRDefault="00402330" w:rsidP="00402330">
            <w:pPr>
              <w:pStyle w:val="Rowheading"/>
            </w:pPr>
            <w:r w:rsidRPr="009349D7">
              <w:t>Re-audit date</w:t>
            </w:r>
          </w:p>
        </w:tc>
        <w:tc>
          <w:tcPr>
            <w:tcW w:w="7790" w:type="dxa"/>
          </w:tcPr>
          <w:p w14:paraId="2A3A9445" w14:textId="77777777" w:rsidR="00402330" w:rsidRPr="009349D7" w:rsidRDefault="00402330" w:rsidP="00402330">
            <w:pPr>
              <w:pStyle w:val="Bodytextredfont"/>
            </w:pPr>
            <w:r w:rsidRPr="009349D7">
              <w:t>(To be completed by the author)</w:t>
            </w:r>
          </w:p>
        </w:tc>
      </w:tr>
      <w:tr w:rsidR="00402330" w:rsidRPr="00077B16" w14:paraId="7E5BF0AE" w14:textId="77777777" w:rsidTr="00874EB1">
        <w:trPr>
          <w:trHeight w:val="20"/>
        </w:trPr>
        <w:tc>
          <w:tcPr>
            <w:tcW w:w="1838" w:type="dxa"/>
          </w:tcPr>
          <w:p w14:paraId="36CD5C27" w14:textId="57B4BB83" w:rsidR="00402330" w:rsidRPr="009349D7" w:rsidRDefault="00402330" w:rsidP="00410C1A">
            <w:pPr>
              <w:pStyle w:val="Rowheading"/>
            </w:pPr>
            <w:r w:rsidRPr="009349D7">
              <w:t>Reference</w:t>
            </w:r>
          </w:p>
        </w:tc>
        <w:tc>
          <w:tcPr>
            <w:tcW w:w="7790" w:type="dxa"/>
          </w:tcPr>
          <w:p w14:paraId="7F5516E3" w14:textId="3348EC4E" w:rsidR="00402330" w:rsidRPr="00844142" w:rsidRDefault="00844142" w:rsidP="00E24353">
            <w:pPr>
              <w:pStyle w:val="Numberedlist"/>
              <w:numPr>
                <w:ilvl w:val="0"/>
                <w:numId w:val="37"/>
              </w:numPr>
              <w:ind w:left="425" w:hanging="425"/>
            </w:pPr>
            <w:r w:rsidRPr="00844142">
              <w:t xml:space="preserve">Bain BJ, Daniel Y, Henthorn J, de la Salle B, Hogan A, Roy NBA </w:t>
            </w:r>
            <w:r w:rsidRPr="00E24353">
              <w:rPr>
                <w:i/>
                <w:iCs/>
              </w:rPr>
              <w:t>et al</w:t>
            </w:r>
            <w:r w:rsidRPr="00844142">
              <w:t xml:space="preserve">. Significant haemoglobinopathies: A guideline for screening and diagnosis: A British Society for Haematology Guideline: A British Society for Haematology Guideline. </w:t>
            </w:r>
            <w:r w:rsidRPr="00E24353">
              <w:rPr>
                <w:i/>
                <w:iCs/>
              </w:rPr>
              <w:t xml:space="preserve">Br J </w:t>
            </w:r>
            <w:proofErr w:type="spellStart"/>
            <w:r w:rsidRPr="00E24353">
              <w:rPr>
                <w:i/>
                <w:iCs/>
              </w:rPr>
              <w:t>Haematol</w:t>
            </w:r>
            <w:proofErr w:type="spellEnd"/>
            <w:r w:rsidRPr="00844142">
              <w:t xml:space="preserve"> 2023;201:1047–1065.</w:t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15C17DB2" w14:textId="77777777" w:rsidR="00844142" w:rsidRDefault="00844142">
      <w:pPr>
        <w:spacing w:before="0" w:after="0" w:line="240" w:lineRule="auto"/>
        <w:rPr>
          <w:rFonts w:cs="Arial"/>
          <w:b/>
          <w:iCs/>
          <w:sz w:val="28"/>
          <w:szCs w:val="28"/>
        </w:rPr>
      </w:pPr>
      <w:r>
        <w:br w:type="page"/>
      </w:r>
    </w:p>
    <w:p w14:paraId="484CF19E" w14:textId="25CF1E13" w:rsidR="00844142" w:rsidRDefault="00844142" w:rsidP="00844142">
      <w:pPr>
        <w:pStyle w:val="Heading2"/>
      </w:pPr>
      <w:r>
        <w:lastRenderedPageBreak/>
        <w:t>Data collection proforma for patients (Significant haemoglobinopathies: A guideline to screening and diagnosis)</w:t>
      </w:r>
    </w:p>
    <w:p w14:paraId="3C2E1AFD" w14:textId="510502E5" w:rsidR="00253E1A" w:rsidRPr="009349D7" w:rsidRDefault="009929C5" w:rsidP="00844142">
      <w:pPr>
        <w:pStyle w:val="Heading2"/>
      </w:pPr>
      <w:r w:rsidRPr="009349D7">
        <w:t xml:space="preserve">Audit reviewing </w:t>
      </w:r>
      <w:r w:rsidR="0085781D">
        <w:rPr>
          <w:szCs w:val="24"/>
        </w:rPr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4030B05B" w14:textId="5DA3D8ED" w:rsidR="00603ECE" w:rsidRPr="001F037A" w:rsidRDefault="00BF12ED" w:rsidP="0045287D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785"/>
        <w:gridCol w:w="922"/>
        <w:gridCol w:w="2245"/>
        <w:gridCol w:w="2202"/>
      </w:tblGrid>
      <w:tr w:rsidR="008123A7" w14:paraId="09CD975F" w14:textId="77777777" w:rsidTr="00844142">
        <w:trPr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D6B" w14:textId="77777777" w:rsidR="008123A7" w:rsidRPr="00C43A5D" w:rsidRDefault="008123A7" w:rsidP="00D54962">
            <w:pPr>
              <w:pStyle w:val="Tabletext"/>
            </w:pPr>
            <w:r w:rsidRPr="00C43A5D">
              <w:t>Standard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B50BB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>1</w:t>
            </w:r>
          </w:p>
          <w:p w14:paraId="4A04EE20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 xml:space="preserve">Yes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1373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>2</w:t>
            </w:r>
          </w:p>
          <w:p w14:paraId="6166E3BD" w14:textId="77777777" w:rsidR="008123A7" w:rsidRPr="00D54962" w:rsidRDefault="008123A7" w:rsidP="00D54962">
            <w:pPr>
              <w:pStyle w:val="Tabletext"/>
              <w:rPr>
                <w:b/>
                <w:bCs/>
              </w:rPr>
            </w:pPr>
            <w:r w:rsidRPr="00D54962">
              <w:rPr>
                <w:b/>
                <w:bCs/>
              </w:rPr>
              <w:t>No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602" w14:textId="77777777" w:rsidR="008123A7" w:rsidRPr="00C43A5D" w:rsidRDefault="008123A7" w:rsidP="00D54962">
            <w:pPr>
              <w:pStyle w:val="Tabletext"/>
              <w:ind w:left="325" w:hanging="325"/>
            </w:pPr>
            <w:r w:rsidRPr="00D54962">
              <w:rPr>
                <w:b/>
                <w:bCs/>
              </w:rPr>
              <w:t>3</w:t>
            </w:r>
            <w:r w:rsidRPr="00C43A5D">
              <w:tab/>
              <w:t>If shaded box not ticked, was there documentation to explain the variance?</w:t>
            </w:r>
            <w:r w:rsidRPr="00C43A5D">
              <w:br/>
            </w:r>
            <w:r w:rsidRPr="00D54962">
              <w:rPr>
                <w:b/>
                <w:bCs/>
              </w:rPr>
              <w:t>Yes/No</w:t>
            </w:r>
            <w:r w:rsidRPr="00C43A5D">
              <w:t xml:space="preserve"> plus free-text comment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73A" w14:textId="77777777" w:rsidR="008123A7" w:rsidRPr="00C43A5D" w:rsidRDefault="008123A7" w:rsidP="00D54962">
            <w:pPr>
              <w:pStyle w:val="Tabletext"/>
              <w:ind w:left="325" w:hanging="325"/>
            </w:pPr>
            <w:r w:rsidRPr="00D54962">
              <w:rPr>
                <w:b/>
                <w:bCs/>
              </w:rPr>
              <w:t>4</w:t>
            </w:r>
            <w:r w:rsidRPr="00C43A5D">
              <w:tab/>
              <w:t xml:space="preserve">Compliant with guideline if shaded box ticked or an appropriate explanation from column 3. </w:t>
            </w:r>
            <w:r w:rsidRPr="00D54962">
              <w:rPr>
                <w:b/>
                <w:bCs/>
              </w:rPr>
              <w:t>Yes/No</w:t>
            </w:r>
            <w:r w:rsidRPr="00C43A5D">
              <w:br/>
              <w:t>(Record if standard not applicable)</w:t>
            </w:r>
          </w:p>
        </w:tc>
      </w:tr>
      <w:tr w:rsidR="00844142" w:rsidRPr="00B67BA4" w14:paraId="72DC7A98" w14:textId="77777777" w:rsidTr="009D2B57">
        <w:trPr>
          <w:trHeight w:val="20"/>
        </w:trPr>
        <w:tc>
          <w:tcPr>
            <w:tcW w:w="9639" w:type="dxa"/>
            <w:gridSpan w:val="5"/>
          </w:tcPr>
          <w:p w14:paraId="2AE373C1" w14:textId="6ED8478B" w:rsidR="00844142" w:rsidRPr="00C43A5D" w:rsidRDefault="00844142" w:rsidP="00844142">
            <w:pPr>
              <w:pStyle w:val="Rowheading"/>
            </w:pPr>
            <w:r w:rsidRPr="005F0C9E">
              <w:t>Assessment of abnormal antenatal screening results</w:t>
            </w:r>
          </w:p>
        </w:tc>
      </w:tr>
      <w:tr w:rsidR="00844142" w:rsidRPr="00B67BA4" w14:paraId="7C6BFD99" w14:textId="77777777" w:rsidTr="00844142">
        <w:trPr>
          <w:trHeight w:val="20"/>
        </w:trPr>
        <w:tc>
          <w:tcPr>
            <w:tcW w:w="3485" w:type="dxa"/>
          </w:tcPr>
          <w:p w14:paraId="0F57FE00" w14:textId="27CA84E9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</w:rPr>
              <w:t xml:space="preserve">1  </w:t>
            </w:r>
            <w:r w:rsidRPr="00D734BA">
              <w:rPr>
                <w:color w:val="000000"/>
              </w:rPr>
              <w:t xml:space="preserve">The suspected presence of a significant variant of </w:t>
            </w:r>
            <w:r>
              <w:rPr>
                <w:color w:val="000000"/>
              </w:rPr>
              <w:t>Hb</w:t>
            </w:r>
            <w:r w:rsidRPr="00D734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was</w:t>
            </w:r>
            <w:r w:rsidRPr="00D734BA">
              <w:rPr>
                <w:color w:val="000000"/>
              </w:rPr>
              <w:t xml:space="preserve"> confirmed by a suitable alternative method</w:t>
            </w:r>
          </w:p>
        </w:tc>
        <w:tc>
          <w:tcPr>
            <w:tcW w:w="785" w:type="dxa"/>
            <w:shd w:val="clear" w:color="auto" w:fill="D9D9D9"/>
          </w:tcPr>
          <w:p w14:paraId="3DB80551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57B0BA8F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31F1DA64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2653EB06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53DFA959" w14:textId="77777777" w:rsidTr="00844142">
        <w:trPr>
          <w:trHeight w:val="20"/>
        </w:trPr>
        <w:tc>
          <w:tcPr>
            <w:tcW w:w="3485" w:type="dxa"/>
          </w:tcPr>
          <w:p w14:paraId="63798A15" w14:textId="1F59AA66" w:rsidR="00844142" w:rsidRDefault="00844142" w:rsidP="00844142">
            <w:pPr>
              <w:pStyle w:val="Standard"/>
              <w:spacing w:after="0"/>
              <w:rPr>
                <w:b/>
                <w:bCs/>
                <w:iCs/>
              </w:rPr>
            </w:pPr>
            <w:r>
              <w:rPr>
                <w:b/>
              </w:rPr>
              <w:t xml:space="preserve">2  </w:t>
            </w:r>
            <w:r w:rsidRPr="001B59F8">
              <w:rPr>
                <w:color w:val="000000"/>
              </w:rPr>
              <w:t>All patients with low MCH and high Hb A2 percentage had a report of β thalassaemia</w:t>
            </w:r>
          </w:p>
        </w:tc>
        <w:tc>
          <w:tcPr>
            <w:tcW w:w="785" w:type="dxa"/>
            <w:shd w:val="clear" w:color="auto" w:fill="D9D9D9"/>
          </w:tcPr>
          <w:p w14:paraId="48B32ECE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1D17733F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27AD0CA2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34CA670A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675CD379" w14:textId="77777777" w:rsidTr="00844142">
        <w:trPr>
          <w:trHeight w:val="20"/>
        </w:trPr>
        <w:tc>
          <w:tcPr>
            <w:tcW w:w="3485" w:type="dxa"/>
          </w:tcPr>
          <w:p w14:paraId="4AB10443" w14:textId="4DEAD708" w:rsidR="00844142" w:rsidRPr="00C43A5D" w:rsidRDefault="00844142" w:rsidP="00844142">
            <w:pPr>
              <w:pStyle w:val="Standard"/>
              <w:spacing w:after="0"/>
              <w:rPr>
                <w:bCs/>
                <w:szCs w:val="24"/>
              </w:rPr>
            </w:pPr>
            <w:r>
              <w:rPr>
                <w:b/>
              </w:rPr>
              <w:t xml:space="preserve">3  </w:t>
            </w:r>
            <w:r w:rsidRPr="00345C8B">
              <w:rPr>
                <w:color w:val="000000"/>
              </w:rPr>
              <w:t>Th</w:t>
            </w:r>
            <w:r w:rsidRPr="001B59F8">
              <w:rPr>
                <w:color w:val="000000"/>
              </w:rPr>
              <w:t xml:space="preserve">e reports of β thalassaemia for patients with low MCH and high Hb A2 percentage </w:t>
            </w:r>
            <w:r>
              <w:rPr>
                <w:color w:val="000000"/>
              </w:rPr>
              <w:t>were</w:t>
            </w:r>
            <w:r w:rsidRPr="001B59F8">
              <w:rPr>
                <w:color w:val="000000"/>
              </w:rPr>
              <w:t xml:space="preserve"> not done with DNA testing</w:t>
            </w:r>
          </w:p>
        </w:tc>
        <w:tc>
          <w:tcPr>
            <w:tcW w:w="785" w:type="dxa"/>
            <w:shd w:val="clear" w:color="auto" w:fill="D9D9D9"/>
          </w:tcPr>
          <w:p w14:paraId="03FD6E5D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2C7F881B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33952EA1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7D2AA084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59EDECD5" w14:textId="77777777" w:rsidTr="0058290E">
        <w:trPr>
          <w:trHeight w:val="63"/>
        </w:trPr>
        <w:tc>
          <w:tcPr>
            <w:tcW w:w="9639" w:type="dxa"/>
            <w:gridSpan w:val="5"/>
          </w:tcPr>
          <w:p w14:paraId="10F9CB03" w14:textId="54C8DE53" w:rsidR="00844142" w:rsidRPr="00C43A5D" w:rsidRDefault="00844142" w:rsidP="00844142">
            <w:pPr>
              <w:pStyle w:val="Rowheading"/>
            </w:pPr>
            <w:r w:rsidRPr="00D6684E">
              <w:t xml:space="preserve">Newborn </w:t>
            </w:r>
            <w:r>
              <w:t>s</w:t>
            </w:r>
            <w:r w:rsidRPr="00D6684E">
              <w:t>creening</w:t>
            </w:r>
          </w:p>
        </w:tc>
      </w:tr>
      <w:tr w:rsidR="00844142" w:rsidRPr="00B67BA4" w14:paraId="5BF20401" w14:textId="77777777" w:rsidTr="00844142">
        <w:trPr>
          <w:trHeight w:val="20"/>
        </w:trPr>
        <w:tc>
          <w:tcPr>
            <w:tcW w:w="3485" w:type="dxa"/>
          </w:tcPr>
          <w:p w14:paraId="5EA36011" w14:textId="076D538E" w:rsidR="00844142" w:rsidRDefault="00844142" w:rsidP="00844142">
            <w:pPr>
              <w:pStyle w:val="Standard"/>
              <w:spacing w:after="0"/>
              <w:rPr>
                <w:b/>
                <w:bCs/>
                <w:iCs/>
              </w:rPr>
            </w:pPr>
            <w:r>
              <w:rPr>
                <w:b/>
                <w:bCs/>
                <w:color w:val="000000"/>
              </w:rPr>
              <w:t xml:space="preserve">1  </w:t>
            </w:r>
            <w:r w:rsidRPr="00D6684E">
              <w:rPr>
                <w:color w:val="000000"/>
              </w:rPr>
              <w:t xml:space="preserve">Babies </w:t>
            </w:r>
            <w:r>
              <w:rPr>
                <w:color w:val="000000"/>
              </w:rPr>
              <w:t>with suspected</w:t>
            </w:r>
            <w:r w:rsidRPr="00D6684E">
              <w:rPr>
                <w:color w:val="000000"/>
              </w:rPr>
              <w:t xml:space="preserve"> β thalassaemia major/TDT, </w:t>
            </w:r>
            <w:r>
              <w:rPr>
                <w:color w:val="000000"/>
              </w:rPr>
              <w:t>based on</w:t>
            </w:r>
            <w:r w:rsidRPr="00D6684E">
              <w:rPr>
                <w:color w:val="000000"/>
              </w:rPr>
              <w:t xml:space="preserve"> there being Hb F only or only a low concentration of Hb A, </w:t>
            </w:r>
            <w:r>
              <w:rPr>
                <w:color w:val="000000"/>
              </w:rPr>
              <w:t>were</w:t>
            </w:r>
            <w:r w:rsidRPr="00D6684E">
              <w:rPr>
                <w:color w:val="000000"/>
              </w:rPr>
              <w:t xml:space="preserve"> followed up and further testing </w:t>
            </w:r>
            <w:r>
              <w:rPr>
                <w:color w:val="000000"/>
              </w:rPr>
              <w:t xml:space="preserve">was </w:t>
            </w:r>
            <w:r w:rsidRPr="00D6684E">
              <w:rPr>
                <w:color w:val="000000"/>
              </w:rPr>
              <w:t>performed</w:t>
            </w:r>
          </w:p>
        </w:tc>
        <w:tc>
          <w:tcPr>
            <w:tcW w:w="785" w:type="dxa"/>
            <w:shd w:val="clear" w:color="auto" w:fill="D9D9D9"/>
          </w:tcPr>
          <w:p w14:paraId="3CA94BB6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45CA4F4C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7D50E9B4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24228917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5697665F" w14:textId="77777777" w:rsidTr="00844142">
        <w:trPr>
          <w:trHeight w:val="20"/>
        </w:trPr>
        <w:tc>
          <w:tcPr>
            <w:tcW w:w="3485" w:type="dxa"/>
          </w:tcPr>
          <w:p w14:paraId="3599631A" w14:textId="082B34F3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 </w:t>
            </w:r>
            <w:r w:rsidRPr="00D734BA">
              <w:rPr>
                <w:color w:val="000000"/>
              </w:rPr>
              <w:t>Detection of a significant</w:t>
            </w:r>
            <w:r>
              <w:rPr>
                <w:color w:val="000000"/>
              </w:rPr>
              <w:t xml:space="preserve"> </w:t>
            </w:r>
            <w:r w:rsidRPr="00D734BA">
              <w:rPr>
                <w:color w:val="000000"/>
              </w:rPr>
              <w:t>abnormality</w:t>
            </w:r>
            <w:r>
              <w:rPr>
                <w:color w:val="000000"/>
              </w:rPr>
              <w:t xml:space="preserve"> was </w:t>
            </w:r>
            <w:r w:rsidRPr="00D734BA">
              <w:rPr>
                <w:color w:val="000000"/>
              </w:rPr>
              <w:t>followed by further testing to achieve a definitive diagnosis</w:t>
            </w:r>
          </w:p>
        </w:tc>
        <w:tc>
          <w:tcPr>
            <w:tcW w:w="785" w:type="dxa"/>
            <w:shd w:val="clear" w:color="auto" w:fill="D9D9D9"/>
          </w:tcPr>
          <w:p w14:paraId="587BABF1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1B80320A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200C7C48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1A08970C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5E125EEE" w14:textId="77777777" w:rsidTr="00C212F3">
        <w:trPr>
          <w:trHeight w:val="20"/>
        </w:trPr>
        <w:tc>
          <w:tcPr>
            <w:tcW w:w="9639" w:type="dxa"/>
            <w:gridSpan w:val="5"/>
          </w:tcPr>
          <w:p w14:paraId="4F2874B7" w14:textId="62BA9764" w:rsidR="00844142" w:rsidRPr="00C43A5D" w:rsidRDefault="00844142" w:rsidP="00844142">
            <w:pPr>
              <w:pStyle w:val="Rowheading"/>
            </w:pPr>
            <w:r w:rsidRPr="00844142">
              <w:t>Preoperative/paranaesthesia</w:t>
            </w:r>
          </w:p>
        </w:tc>
      </w:tr>
      <w:tr w:rsidR="00844142" w:rsidRPr="00B67BA4" w14:paraId="10BAEF36" w14:textId="77777777" w:rsidTr="00844142">
        <w:trPr>
          <w:trHeight w:val="20"/>
        </w:trPr>
        <w:tc>
          <w:tcPr>
            <w:tcW w:w="3485" w:type="dxa"/>
          </w:tcPr>
          <w:p w14:paraId="01D0B11F" w14:textId="3F0E2C77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1  </w:t>
            </w:r>
            <w:r w:rsidRPr="00705C82">
              <w:rPr>
                <w:color w:val="000000"/>
              </w:rPr>
              <w:t>Emergency screening with a sickle solubility test or other screening test</w:t>
            </w:r>
            <w:r>
              <w:rPr>
                <w:color w:val="000000"/>
              </w:rPr>
              <w:t xml:space="preserve">s were </w:t>
            </w:r>
            <w:r w:rsidRPr="00705C82">
              <w:rPr>
                <w:color w:val="000000"/>
              </w:rPr>
              <w:t>always followed by definitive analysis</w:t>
            </w:r>
          </w:p>
        </w:tc>
        <w:tc>
          <w:tcPr>
            <w:tcW w:w="785" w:type="dxa"/>
            <w:shd w:val="clear" w:color="auto" w:fill="D9D9D9"/>
          </w:tcPr>
          <w:p w14:paraId="3E27B1E0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13DFC063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09E45090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16F35971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298D470E" w14:textId="77777777" w:rsidTr="007063FD">
        <w:trPr>
          <w:trHeight w:val="20"/>
        </w:trPr>
        <w:tc>
          <w:tcPr>
            <w:tcW w:w="9639" w:type="dxa"/>
            <w:gridSpan w:val="5"/>
          </w:tcPr>
          <w:p w14:paraId="5C61A895" w14:textId="56B9CA30" w:rsidR="00844142" w:rsidRPr="00C43A5D" w:rsidRDefault="00844142" w:rsidP="00844142">
            <w:pPr>
              <w:pStyle w:val="Rowheading"/>
            </w:pPr>
            <w:r w:rsidRPr="00D6684E">
              <w:t>Laboratory investigation in the diagnosis and management of clinical disorders</w:t>
            </w:r>
          </w:p>
        </w:tc>
      </w:tr>
      <w:tr w:rsidR="00844142" w:rsidRPr="00B67BA4" w14:paraId="344AF488" w14:textId="77777777" w:rsidTr="00844142">
        <w:trPr>
          <w:trHeight w:val="20"/>
        </w:trPr>
        <w:tc>
          <w:tcPr>
            <w:tcW w:w="3485" w:type="dxa"/>
          </w:tcPr>
          <w:p w14:paraId="3EC9F0AE" w14:textId="0996A056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1  </w:t>
            </w:r>
            <w:r w:rsidRPr="00391630">
              <w:rPr>
                <w:color w:val="000000"/>
              </w:rPr>
              <w:t xml:space="preserve">Patients with β thalassaemia intermedia/NTDT being administered hydroxycarbamide or having received gene therapy </w:t>
            </w:r>
            <w:r>
              <w:rPr>
                <w:color w:val="000000"/>
              </w:rPr>
              <w:t>underwent</w:t>
            </w:r>
            <w:r w:rsidRPr="003916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Hb</w:t>
            </w:r>
            <w:r w:rsidRPr="00391630">
              <w:rPr>
                <w:color w:val="000000"/>
              </w:rPr>
              <w:t xml:space="preserve"> F monitor</w:t>
            </w:r>
            <w:r>
              <w:rPr>
                <w:color w:val="000000"/>
              </w:rPr>
              <w:t>ing</w:t>
            </w:r>
          </w:p>
        </w:tc>
        <w:tc>
          <w:tcPr>
            <w:tcW w:w="785" w:type="dxa"/>
            <w:shd w:val="clear" w:color="auto" w:fill="D9D9D9"/>
          </w:tcPr>
          <w:p w14:paraId="64232537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33579F4D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43870B2A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2EC41AF5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3387A92D" w14:textId="77777777" w:rsidTr="0015622A">
        <w:trPr>
          <w:trHeight w:val="20"/>
        </w:trPr>
        <w:tc>
          <w:tcPr>
            <w:tcW w:w="9639" w:type="dxa"/>
            <w:gridSpan w:val="5"/>
          </w:tcPr>
          <w:p w14:paraId="4A517F26" w14:textId="08FB9B8B" w:rsidR="00844142" w:rsidRPr="00C43A5D" w:rsidRDefault="00844142" w:rsidP="00844142">
            <w:pPr>
              <w:pStyle w:val="Rowheading"/>
            </w:pPr>
            <w:r w:rsidRPr="0003197E">
              <w:t xml:space="preserve">Laboratory </w:t>
            </w:r>
            <w:r>
              <w:t>m</w:t>
            </w:r>
            <w:r w:rsidRPr="0003197E">
              <w:t>ethods</w:t>
            </w:r>
          </w:p>
        </w:tc>
      </w:tr>
      <w:tr w:rsidR="00844142" w:rsidRPr="00B67BA4" w14:paraId="3AAE900A" w14:textId="77777777" w:rsidTr="00844142">
        <w:trPr>
          <w:trHeight w:val="20"/>
        </w:trPr>
        <w:tc>
          <w:tcPr>
            <w:tcW w:w="3485" w:type="dxa"/>
          </w:tcPr>
          <w:p w14:paraId="10C75B16" w14:textId="4AC986A6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1  </w:t>
            </w:r>
            <w:r w:rsidRPr="003A1417">
              <w:rPr>
                <w:color w:val="000000"/>
              </w:rPr>
              <w:t>Abnormal laboratory screening results were confirmed by a complementary technique(s) and that technique(s) was appropriate for the abnormality. If the technique(s) was not appropriate, then a third technique was used</w:t>
            </w:r>
          </w:p>
        </w:tc>
        <w:tc>
          <w:tcPr>
            <w:tcW w:w="785" w:type="dxa"/>
            <w:shd w:val="clear" w:color="auto" w:fill="D9D9D9"/>
          </w:tcPr>
          <w:p w14:paraId="4AFE1C8E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119A4AF5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673A4489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41642A10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5AE492C2" w14:textId="77777777" w:rsidTr="00844142">
        <w:trPr>
          <w:trHeight w:val="20"/>
        </w:trPr>
        <w:tc>
          <w:tcPr>
            <w:tcW w:w="3485" w:type="dxa"/>
          </w:tcPr>
          <w:p w14:paraId="6F8B5F14" w14:textId="303F7449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2  </w:t>
            </w:r>
            <w:r w:rsidRPr="00391630">
              <w:rPr>
                <w:color w:val="000000"/>
              </w:rPr>
              <w:t xml:space="preserve">All sickle solubility tests </w:t>
            </w:r>
            <w:r>
              <w:rPr>
                <w:color w:val="000000"/>
              </w:rPr>
              <w:t>were</w:t>
            </w:r>
            <w:r w:rsidRPr="00391630">
              <w:rPr>
                <w:color w:val="000000"/>
              </w:rPr>
              <w:t xml:space="preserve"> confirmed by HPLC, CE or an alternative method</w:t>
            </w:r>
          </w:p>
        </w:tc>
        <w:tc>
          <w:tcPr>
            <w:tcW w:w="785" w:type="dxa"/>
            <w:shd w:val="clear" w:color="auto" w:fill="D9D9D9"/>
          </w:tcPr>
          <w:p w14:paraId="50CB743B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2836DFEA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5C38DDBC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0C9F6B50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61A12F61" w14:textId="77777777" w:rsidTr="00844142">
        <w:trPr>
          <w:trHeight w:val="20"/>
        </w:trPr>
        <w:tc>
          <w:tcPr>
            <w:tcW w:w="3485" w:type="dxa"/>
          </w:tcPr>
          <w:p w14:paraId="77F37EDD" w14:textId="0D5CD02A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3  </w:t>
            </w:r>
            <w:r w:rsidRPr="00AB5831">
              <w:rPr>
                <w:color w:val="000000"/>
              </w:rPr>
              <w:t>Paterna</w:t>
            </w:r>
            <w:r>
              <w:rPr>
                <w:color w:val="000000"/>
              </w:rPr>
              <w:t>l tests were ideally performed after iron results were requested and received</w:t>
            </w:r>
          </w:p>
        </w:tc>
        <w:tc>
          <w:tcPr>
            <w:tcW w:w="785" w:type="dxa"/>
            <w:shd w:val="clear" w:color="auto" w:fill="D9D9D9"/>
          </w:tcPr>
          <w:p w14:paraId="5356D191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44B291D9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11921A6F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2D0CDDAE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72083403" w14:textId="77777777" w:rsidTr="00844142">
        <w:trPr>
          <w:trHeight w:val="20"/>
        </w:trPr>
        <w:tc>
          <w:tcPr>
            <w:tcW w:w="3485" w:type="dxa"/>
          </w:tcPr>
          <w:p w14:paraId="570611C4" w14:textId="3CAAA536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4  </w:t>
            </w:r>
            <w:r>
              <w:rPr>
                <w:color w:val="000000"/>
              </w:rPr>
              <w:t xml:space="preserve">Laboratories were aware of the conditions that may not be detected when using the Antenatal and Newborn Screening Programmes’ algorithms </w:t>
            </w:r>
            <w:proofErr w:type="gramStart"/>
            <w:r>
              <w:rPr>
                <w:color w:val="000000"/>
              </w:rPr>
              <w:t>and also</w:t>
            </w:r>
            <w:proofErr w:type="gramEnd"/>
            <w:r>
              <w:rPr>
                <w:color w:val="000000"/>
              </w:rPr>
              <w:t xml:space="preserve"> of the effect of blood transfusion on the interpretation of results</w:t>
            </w:r>
          </w:p>
        </w:tc>
        <w:tc>
          <w:tcPr>
            <w:tcW w:w="785" w:type="dxa"/>
            <w:shd w:val="clear" w:color="auto" w:fill="D9D9D9"/>
          </w:tcPr>
          <w:p w14:paraId="1EE48152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3F41E20F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5D8A26EC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180424E5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  <w:tr w:rsidR="00844142" w:rsidRPr="00B67BA4" w14:paraId="66013271" w14:textId="77777777" w:rsidTr="00B11E5F">
        <w:trPr>
          <w:trHeight w:val="20"/>
        </w:trPr>
        <w:tc>
          <w:tcPr>
            <w:tcW w:w="9639" w:type="dxa"/>
            <w:gridSpan w:val="5"/>
          </w:tcPr>
          <w:p w14:paraId="672733F5" w14:textId="1EAC1CCA" w:rsidR="00844142" w:rsidRPr="00C43A5D" w:rsidRDefault="00844142" w:rsidP="00844142">
            <w:pPr>
              <w:pStyle w:val="Rowheading"/>
            </w:pPr>
            <w:r w:rsidRPr="00AB5831">
              <w:lastRenderedPageBreak/>
              <w:t>Accurate information of family origin</w:t>
            </w:r>
          </w:p>
        </w:tc>
      </w:tr>
      <w:tr w:rsidR="00844142" w:rsidRPr="00B67BA4" w14:paraId="2C5B5134" w14:textId="77777777" w:rsidTr="00844142">
        <w:trPr>
          <w:trHeight w:val="20"/>
        </w:trPr>
        <w:tc>
          <w:tcPr>
            <w:tcW w:w="3485" w:type="dxa"/>
          </w:tcPr>
          <w:p w14:paraId="364C532C" w14:textId="71631942" w:rsidR="00844142" w:rsidRPr="00C43A5D" w:rsidRDefault="00844142" w:rsidP="00844142">
            <w:pPr>
              <w:pStyle w:val="Standard"/>
              <w:spacing w:after="0"/>
              <w:rPr>
                <w:szCs w:val="24"/>
              </w:rPr>
            </w:pPr>
            <w:r>
              <w:rPr>
                <w:b/>
                <w:bCs/>
                <w:color w:val="000000"/>
              </w:rPr>
              <w:t xml:space="preserve">1  </w:t>
            </w:r>
            <w:r w:rsidRPr="00E7246C">
              <w:rPr>
                <w:color w:val="000000"/>
              </w:rPr>
              <w:t>A local written policy for linkage of antenatal and neonatal screening services was followed, including the use of the at-risk pregnancy alert form</w:t>
            </w:r>
          </w:p>
        </w:tc>
        <w:tc>
          <w:tcPr>
            <w:tcW w:w="785" w:type="dxa"/>
            <w:shd w:val="clear" w:color="auto" w:fill="D9D9D9"/>
          </w:tcPr>
          <w:p w14:paraId="291F95D4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922" w:type="dxa"/>
          </w:tcPr>
          <w:p w14:paraId="3BC3AD7F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45" w:type="dxa"/>
          </w:tcPr>
          <w:p w14:paraId="5CE3C5EA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2202" w:type="dxa"/>
          </w:tcPr>
          <w:p w14:paraId="292C879D" w14:textId="77777777" w:rsidR="00844142" w:rsidRPr="00C43A5D" w:rsidRDefault="00844142" w:rsidP="00844142">
            <w:pPr>
              <w:keepNext/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0AFA03AA" w14:textId="77777777" w:rsidR="009C4BFA" w:rsidRDefault="009C4BFA">
      <w:pPr>
        <w:spacing w:before="0"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70A56D3" w14:textId="358A054C" w:rsidR="0085781D" w:rsidRDefault="0085781D" w:rsidP="0085781D">
      <w:pPr>
        <w:keepNext/>
        <w:rPr>
          <w:rFonts w:cs="Arial"/>
          <w:b/>
        </w:rPr>
      </w:pPr>
      <w:r>
        <w:rPr>
          <w:rFonts w:cs="Arial"/>
          <w:b/>
        </w:rPr>
        <w:lastRenderedPageBreak/>
        <w:t>List of investigations</w:t>
      </w:r>
    </w:p>
    <w:p w14:paraId="02B1A2CA" w14:textId="77777777" w:rsidR="0085781D" w:rsidRDefault="0085781D" w:rsidP="0085781D">
      <w:pPr>
        <w:keepNext/>
        <w:rPr>
          <w:rFonts w:cs="Arial"/>
        </w:rPr>
      </w:pPr>
      <w:r w:rsidRPr="00F333F7">
        <w:rPr>
          <w:rFonts w:cs="Arial"/>
          <w:color w:val="FF0000"/>
        </w:rPr>
        <w:t>(To be completed by the author)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85781D" w14:paraId="66CF13C2" w14:textId="77777777" w:rsidTr="00211CED">
        <w:tc>
          <w:tcPr>
            <w:tcW w:w="5637" w:type="dxa"/>
          </w:tcPr>
          <w:p w14:paraId="73BED375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AC3128F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1950" w:type="dxa"/>
          </w:tcPr>
          <w:p w14:paraId="28ABEDD0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85781D" w14:paraId="5FD01B8A" w14:textId="77777777" w:rsidTr="00211CED">
        <w:tc>
          <w:tcPr>
            <w:tcW w:w="5637" w:type="dxa"/>
          </w:tcPr>
          <w:p w14:paraId="3135F975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EAFBA44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3689CED2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6C7D02A5" w14:textId="77777777" w:rsidTr="00211CED">
        <w:tc>
          <w:tcPr>
            <w:tcW w:w="5637" w:type="dxa"/>
            <w:tcBorders>
              <w:bottom w:val="single" w:sz="4" w:space="0" w:color="auto"/>
            </w:tcBorders>
          </w:tcPr>
          <w:p w14:paraId="4DBD6163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54DEE26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49B62A2E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23DEDEED" w14:textId="77777777" w:rsidTr="00211CED">
        <w:tc>
          <w:tcPr>
            <w:tcW w:w="5637" w:type="dxa"/>
          </w:tcPr>
          <w:p w14:paraId="12DB6F47" w14:textId="77777777" w:rsidR="0085781D" w:rsidRDefault="0085781D" w:rsidP="00211CED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0748A9AC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09A1EBC7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</w:tbl>
    <w:p w14:paraId="381AF554" w14:textId="77777777" w:rsidR="0085781D" w:rsidRDefault="0085781D" w:rsidP="0085781D">
      <w:pPr>
        <w:rPr>
          <w:rFonts w:cs="Arial"/>
          <w:bCs/>
        </w:rPr>
      </w:pPr>
    </w:p>
    <w:p w14:paraId="2393E24C" w14:textId="0646C9FA" w:rsidR="0085781D" w:rsidRDefault="008578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E24353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szCs w:val="24"/>
              </w:rPr>
            </w:pPr>
            <w:r w:rsidRPr="00E24353">
              <w:rPr>
                <w:b/>
              </w:rPr>
              <w:lastRenderedPageBreak/>
              <w:br w:type="page"/>
            </w:r>
            <w:r w:rsidR="00FC2016" w:rsidRPr="00E24353">
              <w:rPr>
                <w:b/>
              </w:rPr>
              <w:t>Audit action plan</w:t>
            </w:r>
            <w:r w:rsidR="00FC2016" w:rsidRPr="00E24353">
              <w:rPr>
                <w:rStyle w:val="UnresolvedMention"/>
                <w:rFonts w:cs="Arial"/>
                <w:b/>
                <w:szCs w:val="24"/>
              </w:rPr>
              <w:t xml:space="preserve"> </w:t>
            </w:r>
          </w:p>
          <w:p w14:paraId="3758BA60" w14:textId="134E44F5" w:rsidR="0085781D" w:rsidRPr="00A1535B" w:rsidRDefault="00A1535B" w:rsidP="008123A7">
            <w:pPr>
              <w:rPr>
                <w:rFonts w:cs="Arial"/>
                <w:bCs/>
              </w:rPr>
            </w:pPr>
            <w:r w:rsidRPr="00E24353">
              <w:rPr>
                <w:bCs/>
              </w:rPr>
              <w:t xml:space="preserve">An audit of compliance with the </w:t>
            </w:r>
            <w:r>
              <w:rPr>
                <w:bCs/>
              </w:rPr>
              <w:t>BSH</w:t>
            </w:r>
            <w:r w:rsidRPr="00E24353">
              <w:rPr>
                <w:bCs/>
              </w:rPr>
              <w:t xml:space="preserve"> guideline on the screening and diagnosis of significant haemoglobinopathies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53" w14:textId="0116C819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392DE1">
      <w:rPr>
        <w:rFonts w:cs="Arial"/>
        <w:sz w:val="20"/>
        <w:szCs w:val="20"/>
      </w:rPr>
      <w:t>0402</w:t>
    </w:r>
    <w:r w:rsidR="00392DE1">
      <w:rPr>
        <w:rFonts w:cs="Arial"/>
        <w:sz w:val="20"/>
        <w:szCs w:val="20"/>
      </w:rPr>
      <w:t>25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569" w14:textId="44B83B73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643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2096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A1535B">
      <w:rPr>
        <w:rFonts w:cs="Arial"/>
        <w:sz w:val="20"/>
        <w:szCs w:val="20"/>
      </w:rPr>
      <w:t>0402</w:t>
    </w:r>
    <w:r w:rsidR="00A1535B">
      <w:rPr>
        <w:rFonts w:cs="Arial"/>
        <w:sz w:val="20"/>
        <w:szCs w:val="20"/>
      </w:rPr>
      <w:t>25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30FE" w14:textId="47BDD896" w:rsidR="00590DC3" w:rsidRPr="00927185" w:rsidRDefault="0085781D" w:rsidP="0085781D">
    <w:pPr>
      <w:pStyle w:val="Header"/>
      <w:tabs>
        <w:tab w:val="clear" w:pos="8306"/>
        <w:tab w:val="right" w:pos="9639"/>
      </w:tabs>
      <w:spacing w:before="0" w:after="0" w:line="240" w:lineRule="auto"/>
      <w:rPr>
        <w:rFonts w:cs="Arial"/>
        <w:noProof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49926" wp14:editId="628C3E68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2258060" cy="662940"/>
          <wp:effectExtent l="0" t="0" r="8890" b="3810"/>
          <wp:wrapThrough wrapText="bothSides">
            <wp:wrapPolygon edited="0">
              <wp:start x="16765" y="0"/>
              <wp:lineTo x="0" y="3103"/>
              <wp:lineTo x="0" y="21103"/>
              <wp:lineTo x="19316" y="21103"/>
              <wp:lineTo x="21503" y="14276"/>
              <wp:lineTo x="21503" y="6828"/>
              <wp:lineTo x="19316" y="0"/>
              <wp:lineTo x="16765" y="0"/>
            </wp:wrapPolygon>
          </wp:wrapThrough>
          <wp:docPr id="2026805908" name="Picture 42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545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115BF"/>
    <w:multiLevelType w:val="hybridMultilevel"/>
    <w:tmpl w:val="C5362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920AC"/>
    <w:multiLevelType w:val="hybridMultilevel"/>
    <w:tmpl w:val="1CCC0318"/>
    <w:lvl w:ilvl="0" w:tplc="23BA15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236B9"/>
    <w:multiLevelType w:val="hybridMultilevel"/>
    <w:tmpl w:val="E5C42772"/>
    <w:lvl w:ilvl="0" w:tplc="C212D6B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330"/>
    <w:multiLevelType w:val="hybridMultilevel"/>
    <w:tmpl w:val="8CC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3D8"/>
    <w:multiLevelType w:val="hybridMultilevel"/>
    <w:tmpl w:val="3234547E"/>
    <w:lvl w:ilvl="0" w:tplc="48B4B29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1703006B"/>
    <w:multiLevelType w:val="hybridMultilevel"/>
    <w:tmpl w:val="F51E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22308"/>
    <w:multiLevelType w:val="hybridMultilevel"/>
    <w:tmpl w:val="FBEE6BAA"/>
    <w:lvl w:ilvl="0" w:tplc="E1C4A7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01005"/>
    <w:multiLevelType w:val="hybridMultilevel"/>
    <w:tmpl w:val="CC0699F2"/>
    <w:lvl w:ilvl="0" w:tplc="831EA01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28FC7688"/>
    <w:multiLevelType w:val="hybridMultilevel"/>
    <w:tmpl w:val="6A9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2222"/>
    <w:multiLevelType w:val="hybridMultilevel"/>
    <w:tmpl w:val="12082A2C"/>
    <w:lvl w:ilvl="0" w:tplc="04090001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63" w:hanging="360"/>
      </w:pPr>
    </w:lvl>
    <w:lvl w:ilvl="2" w:tplc="FFFFFFFF" w:tentative="1">
      <w:start w:val="1"/>
      <w:numFmt w:val="lowerRoman"/>
      <w:lvlText w:val="%3."/>
      <w:lvlJc w:val="right"/>
      <w:pPr>
        <w:ind w:left="1783" w:hanging="180"/>
      </w:pPr>
    </w:lvl>
    <w:lvl w:ilvl="3" w:tplc="FFFFFFFF" w:tentative="1">
      <w:start w:val="1"/>
      <w:numFmt w:val="decimal"/>
      <w:lvlText w:val="%4."/>
      <w:lvlJc w:val="left"/>
      <w:pPr>
        <w:ind w:left="2503" w:hanging="360"/>
      </w:pPr>
    </w:lvl>
    <w:lvl w:ilvl="4" w:tplc="FFFFFFFF" w:tentative="1">
      <w:start w:val="1"/>
      <w:numFmt w:val="lowerLetter"/>
      <w:lvlText w:val="%5."/>
      <w:lvlJc w:val="left"/>
      <w:pPr>
        <w:ind w:left="3223" w:hanging="360"/>
      </w:pPr>
    </w:lvl>
    <w:lvl w:ilvl="5" w:tplc="FFFFFFFF" w:tentative="1">
      <w:start w:val="1"/>
      <w:numFmt w:val="lowerRoman"/>
      <w:lvlText w:val="%6."/>
      <w:lvlJc w:val="right"/>
      <w:pPr>
        <w:ind w:left="3943" w:hanging="180"/>
      </w:pPr>
    </w:lvl>
    <w:lvl w:ilvl="6" w:tplc="FFFFFFFF" w:tentative="1">
      <w:start w:val="1"/>
      <w:numFmt w:val="decimal"/>
      <w:lvlText w:val="%7."/>
      <w:lvlJc w:val="left"/>
      <w:pPr>
        <w:ind w:left="4663" w:hanging="360"/>
      </w:pPr>
    </w:lvl>
    <w:lvl w:ilvl="7" w:tplc="FFFFFFFF" w:tentative="1">
      <w:start w:val="1"/>
      <w:numFmt w:val="lowerLetter"/>
      <w:lvlText w:val="%8."/>
      <w:lvlJc w:val="left"/>
      <w:pPr>
        <w:ind w:left="5383" w:hanging="360"/>
      </w:pPr>
    </w:lvl>
    <w:lvl w:ilvl="8" w:tplc="FFFFFFFF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33A91D70"/>
    <w:multiLevelType w:val="hybridMultilevel"/>
    <w:tmpl w:val="54F8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82FF6"/>
    <w:multiLevelType w:val="hybridMultilevel"/>
    <w:tmpl w:val="DC32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F35BB"/>
    <w:multiLevelType w:val="hybridMultilevel"/>
    <w:tmpl w:val="78EC6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F6202C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173771"/>
    <w:multiLevelType w:val="hybridMultilevel"/>
    <w:tmpl w:val="3522B120"/>
    <w:lvl w:ilvl="0" w:tplc="8A36BB4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A0BA2"/>
    <w:multiLevelType w:val="hybridMultilevel"/>
    <w:tmpl w:val="008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1BE6"/>
    <w:multiLevelType w:val="hybridMultilevel"/>
    <w:tmpl w:val="584A6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366F2"/>
    <w:multiLevelType w:val="hybridMultilevel"/>
    <w:tmpl w:val="38266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1C51"/>
    <w:multiLevelType w:val="hybridMultilevel"/>
    <w:tmpl w:val="1874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F1E2B"/>
    <w:multiLevelType w:val="hybridMultilevel"/>
    <w:tmpl w:val="419EE004"/>
    <w:lvl w:ilvl="0" w:tplc="0784B66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0" w15:restartNumberingAfterBreak="0">
    <w:nsid w:val="5E233696"/>
    <w:multiLevelType w:val="hybridMultilevel"/>
    <w:tmpl w:val="4058D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477D90"/>
    <w:multiLevelType w:val="hybridMultilevel"/>
    <w:tmpl w:val="85E08236"/>
    <w:lvl w:ilvl="0" w:tplc="189C6B8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2" w15:restartNumberingAfterBreak="0">
    <w:nsid w:val="60770DC1"/>
    <w:multiLevelType w:val="hybridMultilevel"/>
    <w:tmpl w:val="1F2EAEB0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23" w:hanging="360"/>
      </w:pPr>
    </w:lvl>
    <w:lvl w:ilvl="2" w:tplc="FFFFFFFF" w:tentative="1">
      <w:start w:val="1"/>
      <w:numFmt w:val="lowerRoman"/>
      <w:lvlText w:val="%3."/>
      <w:lvlJc w:val="right"/>
      <w:pPr>
        <w:ind w:left="2143" w:hanging="180"/>
      </w:pPr>
    </w:lvl>
    <w:lvl w:ilvl="3" w:tplc="FFFFFFFF" w:tentative="1">
      <w:start w:val="1"/>
      <w:numFmt w:val="decimal"/>
      <w:lvlText w:val="%4."/>
      <w:lvlJc w:val="left"/>
      <w:pPr>
        <w:ind w:left="2863" w:hanging="360"/>
      </w:pPr>
    </w:lvl>
    <w:lvl w:ilvl="4" w:tplc="FFFFFFFF" w:tentative="1">
      <w:start w:val="1"/>
      <w:numFmt w:val="lowerLetter"/>
      <w:lvlText w:val="%5."/>
      <w:lvlJc w:val="left"/>
      <w:pPr>
        <w:ind w:left="3583" w:hanging="360"/>
      </w:pPr>
    </w:lvl>
    <w:lvl w:ilvl="5" w:tplc="FFFFFFFF" w:tentative="1">
      <w:start w:val="1"/>
      <w:numFmt w:val="lowerRoman"/>
      <w:lvlText w:val="%6."/>
      <w:lvlJc w:val="right"/>
      <w:pPr>
        <w:ind w:left="4303" w:hanging="180"/>
      </w:pPr>
    </w:lvl>
    <w:lvl w:ilvl="6" w:tplc="FFFFFFFF" w:tentative="1">
      <w:start w:val="1"/>
      <w:numFmt w:val="decimal"/>
      <w:lvlText w:val="%7."/>
      <w:lvlJc w:val="left"/>
      <w:pPr>
        <w:ind w:left="5023" w:hanging="360"/>
      </w:pPr>
    </w:lvl>
    <w:lvl w:ilvl="7" w:tplc="FFFFFFFF" w:tentative="1">
      <w:start w:val="1"/>
      <w:numFmt w:val="lowerLetter"/>
      <w:lvlText w:val="%8."/>
      <w:lvlJc w:val="left"/>
      <w:pPr>
        <w:ind w:left="5743" w:hanging="360"/>
      </w:pPr>
    </w:lvl>
    <w:lvl w:ilvl="8" w:tplc="FFFFFFFF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 w15:restartNumberingAfterBreak="0">
    <w:nsid w:val="61B365DC"/>
    <w:multiLevelType w:val="hybridMultilevel"/>
    <w:tmpl w:val="4AD676D4"/>
    <w:lvl w:ilvl="0" w:tplc="073CF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4827"/>
    <w:multiLevelType w:val="hybridMultilevel"/>
    <w:tmpl w:val="A48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139AD"/>
    <w:multiLevelType w:val="hybridMultilevel"/>
    <w:tmpl w:val="AC1C4D26"/>
    <w:lvl w:ilvl="0" w:tplc="4C26D1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6E5F"/>
    <w:multiLevelType w:val="hybridMultilevel"/>
    <w:tmpl w:val="FB4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0590B"/>
    <w:multiLevelType w:val="hybridMultilevel"/>
    <w:tmpl w:val="65586A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C17D6E"/>
    <w:multiLevelType w:val="hybridMultilevel"/>
    <w:tmpl w:val="5C6C33A0"/>
    <w:lvl w:ilvl="0" w:tplc="12DE23D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9" w15:restartNumberingAfterBreak="0">
    <w:nsid w:val="7B5E1D62"/>
    <w:multiLevelType w:val="hybridMultilevel"/>
    <w:tmpl w:val="07D6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7605F"/>
    <w:multiLevelType w:val="hybridMultilevel"/>
    <w:tmpl w:val="149CFC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78267">
    <w:abstractNumId w:val="3"/>
  </w:num>
  <w:num w:numId="2" w16cid:durableId="797454649">
    <w:abstractNumId w:val="0"/>
  </w:num>
  <w:num w:numId="3" w16cid:durableId="1141312955">
    <w:abstractNumId w:val="25"/>
  </w:num>
  <w:num w:numId="4" w16cid:durableId="1123696890">
    <w:abstractNumId w:val="6"/>
  </w:num>
  <w:num w:numId="5" w16cid:durableId="1001930679">
    <w:abstractNumId w:val="10"/>
  </w:num>
  <w:num w:numId="6" w16cid:durableId="1221163399">
    <w:abstractNumId w:val="22"/>
  </w:num>
  <w:num w:numId="7" w16cid:durableId="801389551">
    <w:abstractNumId w:val="12"/>
  </w:num>
  <w:num w:numId="8" w16cid:durableId="26683699">
    <w:abstractNumId w:val="4"/>
  </w:num>
  <w:num w:numId="9" w16cid:durableId="327750527">
    <w:abstractNumId w:val="11"/>
  </w:num>
  <w:num w:numId="10" w16cid:durableId="554240111">
    <w:abstractNumId w:val="9"/>
  </w:num>
  <w:num w:numId="11" w16cid:durableId="2084601848">
    <w:abstractNumId w:val="14"/>
  </w:num>
  <w:num w:numId="12" w16cid:durableId="718867892">
    <w:abstractNumId w:val="2"/>
  </w:num>
  <w:num w:numId="13" w16cid:durableId="1086725500">
    <w:abstractNumId w:val="30"/>
  </w:num>
  <w:num w:numId="14" w16cid:durableId="607199345">
    <w:abstractNumId w:val="27"/>
  </w:num>
  <w:num w:numId="15" w16cid:durableId="1612736601">
    <w:abstractNumId w:val="1"/>
  </w:num>
  <w:num w:numId="16" w16cid:durableId="321665662">
    <w:abstractNumId w:val="20"/>
  </w:num>
  <w:num w:numId="17" w16cid:durableId="1690990039">
    <w:abstractNumId w:val="13"/>
  </w:num>
  <w:num w:numId="18" w16cid:durableId="1678146928">
    <w:abstractNumId w:val="29"/>
  </w:num>
  <w:num w:numId="19" w16cid:durableId="1960449470">
    <w:abstractNumId w:val="15"/>
  </w:num>
  <w:num w:numId="20" w16cid:durableId="272632942">
    <w:abstractNumId w:val="18"/>
  </w:num>
  <w:num w:numId="21" w16cid:durableId="1577932367">
    <w:abstractNumId w:val="26"/>
  </w:num>
  <w:num w:numId="22" w16cid:durableId="1325628845">
    <w:abstractNumId w:val="7"/>
  </w:num>
  <w:num w:numId="23" w16cid:durableId="1277256281">
    <w:abstractNumId w:val="17"/>
  </w:num>
  <w:num w:numId="24" w16cid:durableId="2049795340">
    <w:abstractNumId w:val="23"/>
  </w:num>
  <w:num w:numId="25" w16cid:durableId="1035275178">
    <w:abstractNumId w:val="5"/>
  </w:num>
  <w:num w:numId="26" w16cid:durableId="1746956849">
    <w:abstractNumId w:val="21"/>
  </w:num>
  <w:num w:numId="27" w16cid:durableId="1359043766">
    <w:abstractNumId w:val="28"/>
  </w:num>
  <w:num w:numId="28" w16cid:durableId="98380130">
    <w:abstractNumId w:val="8"/>
  </w:num>
  <w:num w:numId="29" w16cid:durableId="243687163">
    <w:abstractNumId w:val="19"/>
  </w:num>
  <w:num w:numId="30" w16cid:durableId="1511947370">
    <w:abstractNumId w:val="16"/>
  </w:num>
  <w:num w:numId="31" w16cid:durableId="465899903">
    <w:abstractNumId w:val="24"/>
  </w:num>
  <w:num w:numId="32" w16cid:durableId="814949566">
    <w:abstractNumId w:val="3"/>
    <w:lvlOverride w:ilvl="0">
      <w:startOverride w:val="1"/>
    </w:lvlOverride>
  </w:num>
  <w:num w:numId="33" w16cid:durableId="1970743741">
    <w:abstractNumId w:val="3"/>
    <w:lvlOverride w:ilvl="0">
      <w:startOverride w:val="1"/>
    </w:lvlOverride>
  </w:num>
  <w:num w:numId="34" w16cid:durableId="1936743003">
    <w:abstractNumId w:val="3"/>
    <w:lvlOverride w:ilvl="0">
      <w:startOverride w:val="1"/>
    </w:lvlOverride>
  </w:num>
  <w:num w:numId="35" w16cid:durableId="1522236840">
    <w:abstractNumId w:val="3"/>
    <w:lvlOverride w:ilvl="0">
      <w:startOverride w:val="1"/>
    </w:lvlOverride>
  </w:num>
  <w:num w:numId="36" w16cid:durableId="871067245">
    <w:abstractNumId w:val="3"/>
    <w:lvlOverride w:ilvl="0">
      <w:startOverride w:val="1"/>
    </w:lvlOverride>
  </w:num>
  <w:num w:numId="37" w16cid:durableId="1840274075">
    <w:abstractNumId w:val="3"/>
    <w:lvlOverride w:ilvl="0">
      <w:startOverride w:val="1"/>
    </w:lvlOverride>
  </w:num>
  <w:num w:numId="38" w16cid:durableId="878476918">
    <w:abstractNumId w:val="3"/>
    <w:lvlOverride w:ilvl="0">
      <w:startOverride w:val="1"/>
    </w:lvlOverride>
  </w:num>
  <w:num w:numId="39" w16cid:durableId="1631591403">
    <w:abstractNumId w:val="3"/>
    <w:lvlOverride w:ilvl="0">
      <w:startOverride w:val="1"/>
    </w:lvlOverride>
  </w:num>
  <w:num w:numId="40" w16cid:durableId="665329436">
    <w:abstractNumId w:val="3"/>
    <w:lvlOverride w:ilvl="0">
      <w:startOverride w:val="1"/>
    </w:lvlOverride>
  </w:num>
  <w:num w:numId="41" w16cid:durableId="925847768">
    <w:abstractNumId w:val="3"/>
    <w:lvlOverride w:ilvl="0">
      <w:startOverride w:val="1"/>
    </w:lvlOverride>
  </w:num>
  <w:num w:numId="42" w16cid:durableId="1624340003">
    <w:abstractNumId w:val="3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C70E3"/>
    <w:rsid w:val="000D7C6A"/>
    <w:rsid w:val="000E2004"/>
    <w:rsid w:val="000E42F5"/>
    <w:rsid w:val="000F03EB"/>
    <w:rsid w:val="000F4D77"/>
    <w:rsid w:val="0014563E"/>
    <w:rsid w:val="001475F0"/>
    <w:rsid w:val="00153C83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27054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C046B"/>
    <w:rsid w:val="002F5E08"/>
    <w:rsid w:val="00327320"/>
    <w:rsid w:val="00333833"/>
    <w:rsid w:val="00363010"/>
    <w:rsid w:val="00373A0F"/>
    <w:rsid w:val="0037430B"/>
    <w:rsid w:val="00383EC0"/>
    <w:rsid w:val="00390ACD"/>
    <w:rsid w:val="00392DE1"/>
    <w:rsid w:val="00395582"/>
    <w:rsid w:val="003A33FE"/>
    <w:rsid w:val="003B186F"/>
    <w:rsid w:val="003B4471"/>
    <w:rsid w:val="003D3B96"/>
    <w:rsid w:val="003E4192"/>
    <w:rsid w:val="00402330"/>
    <w:rsid w:val="004039FC"/>
    <w:rsid w:val="00406950"/>
    <w:rsid w:val="00410C1A"/>
    <w:rsid w:val="00410CC2"/>
    <w:rsid w:val="004118BE"/>
    <w:rsid w:val="004201C9"/>
    <w:rsid w:val="00436FD4"/>
    <w:rsid w:val="0045287D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62B52"/>
    <w:rsid w:val="00590DC3"/>
    <w:rsid w:val="005A2C0F"/>
    <w:rsid w:val="005A2D91"/>
    <w:rsid w:val="005A6838"/>
    <w:rsid w:val="005C7333"/>
    <w:rsid w:val="005D3173"/>
    <w:rsid w:val="005D7294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456DE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6F44A6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E5248"/>
    <w:rsid w:val="007F21DF"/>
    <w:rsid w:val="008015D7"/>
    <w:rsid w:val="008123A7"/>
    <w:rsid w:val="00813B20"/>
    <w:rsid w:val="008317B0"/>
    <w:rsid w:val="00835EBE"/>
    <w:rsid w:val="00844142"/>
    <w:rsid w:val="00855773"/>
    <w:rsid w:val="0085781D"/>
    <w:rsid w:val="00860AF9"/>
    <w:rsid w:val="008628C3"/>
    <w:rsid w:val="00874EB1"/>
    <w:rsid w:val="00875EC4"/>
    <w:rsid w:val="00876760"/>
    <w:rsid w:val="00884B47"/>
    <w:rsid w:val="0089524E"/>
    <w:rsid w:val="008A6D3E"/>
    <w:rsid w:val="008C571E"/>
    <w:rsid w:val="008D69A3"/>
    <w:rsid w:val="008E542F"/>
    <w:rsid w:val="008E5933"/>
    <w:rsid w:val="00903337"/>
    <w:rsid w:val="0091017D"/>
    <w:rsid w:val="00927185"/>
    <w:rsid w:val="00930859"/>
    <w:rsid w:val="009309D4"/>
    <w:rsid w:val="009309DD"/>
    <w:rsid w:val="009349D7"/>
    <w:rsid w:val="00940136"/>
    <w:rsid w:val="00952DFE"/>
    <w:rsid w:val="00962491"/>
    <w:rsid w:val="00991041"/>
    <w:rsid w:val="009929C5"/>
    <w:rsid w:val="009A7F6F"/>
    <w:rsid w:val="009C1F74"/>
    <w:rsid w:val="009C38CD"/>
    <w:rsid w:val="009C4066"/>
    <w:rsid w:val="009C4BFA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1535B"/>
    <w:rsid w:val="00A35011"/>
    <w:rsid w:val="00A4630E"/>
    <w:rsid w:val="00A6672C"/>
    <w:rsid w:val="00A91137"/>
    <w:rsid w:val="00A9492C"/>
    <w:rsid w:val="00AB2EA4"/>
    <w:rsid w:val="00AB52AE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A189A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3B58"/>
    <w:rsid w:val="00C43A5D"/>
    <w:rsid w:val="00C5391D"/>
    <w:rsid w:val="00C55A88"/>
    <w:rsid w:val="00C74CCE"/>
    <w:rsid w:val="00C863A4"/>
    <w:rsid w:val="00C87E39"/>
    <w:rsid w:val="00CA3D4B"/>
    <w:rsid w:val="00CA67FB"/>
    <w:rsid w:val="00CB28BE"/>
    <w:rsid w:val="00CB3A48"/>
    <w:rsid w:val="00CC60DB"/>
    <w:rsid w:val="00D2267A"/>
    <w:rsid w:val="00D25ED8"/>
    <w:rsid w:val="00D366F9"/>
    <w:rsid w:val="00D370BF"/>
    <w:rsid w:val="00D445BA"/>
    <w:rsid w:val="00D46868"/>
    <w:rsid w:val="00D54962"/>
    <w:rsid w:val="00D6143F"/>
    <w:rsid w:val="00D718AF"/>
    <w:rsid w:val="00D72E30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24353"/>
    <w:rsid w:val="00E33449"/>
    <w:rsid w:val="00E3625C"/>
    <w:rsid w:val="00E53AD8"/>
    <w:rsid w:val="00E55B1D"/>
    <w:rsid w:val="00E56306"/>
    <w:rsid w:val="00E57653"/>
    <w:rsid w:val="00E7343E"/>
    <w:rsid w:val="00E943DB"/>
    <w:rsid w:val="00EA77C0"/>
    <w:rsid w:val="00EB13C8"/>
    <w:rsid w:val="00EB334F"/>
    <w:rsid w:val="00EB5E7F"/>
    <w:rsid w:val="00EC181A"/>
    <w:rsid w:val="00EC78D4"/>
    <w:rsid w:val="00ED4617"/>
    <w:rsid w:val="00ED4C71"/>
    <w:rsid w:val="00ED7D35"/>
    <w:rsid w:val="00EE42BE"/>
    <w:rsid w:val="00EF4B07"/>
    <w:rsid w:val="00EF6FB6"/>
    <w:rsid w:val="00F10036"/>
    <w:rsid w:val="00F138DB"/>
    <w:rsid w:val="00F15FCC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105F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227054"/>
    <w:pPr>
      <w:tabs>
        <w:tab w:val="clear" w:pos="360"/>
      </w:tabs>
      <w:ind w:left="425" w:hanging="425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44142"/>
    <w:pPr>
      <w:numPr>
        <w:numId w:val="1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227054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44142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2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5781D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RowheadingChar"/>
    <w:link w:val="EndNoteBibliographyTitle"/>
    <w:rsid w:val="0085781D"/>
    <w:rPr>
      <w:rFonts w:ascii="Arial" w:eastAsia="Calibri" w:hAnsi="Arial" w:cs="Arial"/>
      <w:b w:val="0"/>
      <w:noProof/>
      <w:sz w:val="24"/>
      <w:szCs w:val="22"/>
      <w:lang w:val="en-US" w:eastAsia="en-US"/>
    </w:rPr>
  </w:style>
  <w:style w:type="paragraph" w:customStyle="1" w:styleId="Standard">
    <w:name w:val="Standard"/>
    <w:basedOn w:val="Normal"/>
    <w:link w:val="StandardChar"/>
    <w:qFormat/>
    <w:rsid w:val="000F03EB"/>
    <w:pPr>
      <w:autoSpaceDE w:val="0"/>
      <w:autoSpaceDN w:val="0"/>
      <w:adjustRightInd w:val="0"/>
      <w:spacing w:after="120" w:line="276" w:lineRule="auto"/>
    </w:pPr>
    <w:rPr>
      <w:rFonts w:eastAsia="Times New Roman" w:cs="Arial"/>
      <w:lang w:eastAsia="en-GB"/>
    </w:rPr>
  </w:style>
  <w:style w:type="character" w:customStyle="1" w:styleId="StandardChar">
    <w:name w:val="Standard Char"/>
    <w:link w:val="Standard"/>
    <w:rsid w:val="000F03EB"/>
    <w:rPr>
      <w:rFonts w:ascii="Arial" w:hAnsi="Arial" w:cs="Arial"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C046B"/>
    <w:rPr>
      <w:rFonts w:ascii="Arial" w:eastAsia="Calibri" w:hAnsi="Arial" w:cs="Arial"/>
      <w:b/>
      <w:bCs/>
      <w:sz w:val="24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9C4BFA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RowheadingChar"/>
    <w:link w:val="EndNoteBibliography"/>
    <w:rsid w:val="009C4BFA"/>
    <w:rPr>
      <w:rFonts w:ascii="Calibri" w:eastAsia="Calibri" w:hAnsi="Calibri" w:cs="Calibri"/>
      <w:b w:val="0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0bac11-0413-4193-93bb-144e165abb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3811B7AD3A144883CF124E7341F18" ma:contentTypeVersion="18" ma:contentTypeDescription="Create a new document." ma:contentTypeScope="" ma:versionID="2a17d748e4c62c93fe0649ce855bbd8d">
  <xsd:schema xmlns:xsd="http://www.w3.org/2001/XMLSchema" xmlns:xs="http://www.w3.org/2001/XMLSchema" xmlns:p="http://schemas.microsoft.com/office/2006/metadata/properties" xmlns:ns3="2a0bac11-0413-4193-93bb-144e165abb07" xmlns:ns4="b8b360be-da2f-4c2f-a824-c7742c221998" targetNamespace="http://schemas.microsoft.com/office/2006/metadata/properties" ma:root="true" ma:fieldsID="ec1edaecc41a2951d8ee128c4c5fc5e2" ns3:_="" ns4:_="">
    <xsd:import namespace="2a0bac11-0413-4193-93bb-144e165abb07"/>
    <xsd:import namespace="b8b360be-da2f-4c2f-a824-c7742c2219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11-0413-4193-93bb-144e165ab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60be-da2f-4c2f-a824-c7742c221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F464-91B5-4640-8604-589C3727768D}">
  <ds:schemaRefs>
    <ds:schemaRef ds:uri="http://schemas.microsoft.com/office/infopath/2007/PartnerControls"/>
    <ds:schemaRef ds:uri="b8b360be-da2f-4c2f-a824-c7742c22199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2a0bac11-0413-4193-93bb-144e165abb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3D239D-7F81-4667-A399-9BD3C4286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ac11-0413-4193-93bb-144e165abb07"/>
    <ds:schemaRef ds:uri="b8b360be-da2f-4c2f-a824-c7742c22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2</TotalTime>
  <Pages>11</Pages>
  <Words>1293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audit of compliance with the BSH guideline for the diagnosis and monitoring of VWD</vt:lpstr>
    </vt:vector>
  </TitlesOfParts>
  <Company>Royal College of Pathologists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audit of compliance with the BSH guideline for the diagnosis and monitoring of VWD</dc:title>
  <dc:subject/>
  <dc:creator>mmarrerofeo</dc:creator>
  <cp:keywords/>
  <cp:lastModifiedBy>Jack Reader</cp:lastModifiedBy>
  <cp:revision>3</cp:revision>
  <cp:lastPrinted>2011-10-27T15:55:00Z</cp:lastPrinted>
  <dcterms:created xsi:type="dcterms:W3CDTF">2025-02-04T11:46:00Z</dcterms:created>
  <dcterms:modified xsi:type="dcterms:W3CDTF">2025-02-04T11:46:00Z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0x0101009213811B7AD3A144883CF124E7341F18</vt:lpwstr>
  </property>
</Properties>
</file>