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5A6DD2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5A6DD2">
        <w:trPr>
          <w:trHeight w:val="469"/>
        </w:trPr>
        <w:tc>
          <w:tcPr>
            <w:tcW w:w="1737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5A6DD2">
        <w:trPr>
          <w:trHeight w:val="58"/>
        </w:trPr>
        <w:tc>
          <w:tcPr>
            <w:tcW w:w="1737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118B81ED" w:rsidR="009F45A0" w:rsidRPr="009349D7" w:rsidRDefault="005A6DD2" w:rsidP="00952DFE">
            <w:r>
              <w:t>U</w:t>
            </w:r>
            <w:r w:rsidRPr="008F6A1F">
              <w:t>rological</w:t>
            </w:r>
          </w:p>
        </w:tc>
      </w:tr>
      <w:tr w:rsidR="005A6DD2" w:rsidRPr="00077B16" w14:paraId="13EFC558" w14:textId="77777777" w:rsidTr="005A6DD2">
        <w:trPr>
          <w:trHeight w:val="469"/>
        </w:trPr>
        <w:tc>
          <w:tcPr>
            <w:tcW w:w="1737" w:type="dxa"/>
          </w:tcPr>
          <w:p w14:paraId="3A56FE41" w14:textId="77777777" w:rsidR="005A6DD2" w:rsidRPr="009349D7" w:rsidRDefault="005A6DD2" w:rsidP="005A6DD2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73EBC5C7" w:rsidR="005A6DD2" w:rsidRPr="009349D7" w:rsidRDefault="005A6DD2" w:rsidP="005A6DD2">
            <w:r w:rsidRPr="000A602B">
              <w:rPr>
                <w:rFonts w:cs="Arial"/>
                <w:b/>
              </w:rPr>
              <w:t>An audit of quality of histopathology reporting of transurethral resection of prostate specimens</w:t>
            </w:r>
          </w:p>
        </w:tc>
      </w:tr>
      <w:tr w:rsidR="005A6DD2" w:rsidRPr="00077B16" w14:paraId="2B750D7A" w14:textId="77777777" w:rsidTr="005A6DD2">
        <w:trPr>
          <w:trHeight w:val="469"/>
        </w:trPr>
        <w:tc>
          <w:tcPr>
            <w:tcW w:w="1737" w:type="dxa"/>
          </w:tcPr>
          <w:p w14:paraId="70726B9A" w14:textId="77777777" w:rsidR="005A6DD2" w:rsidRPr="009349D7" w:rsidRDefault="005A6DD2" w:rsidP="005A6DD2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692B8A0E" w14:textId="77777777" w:rsidR="005A6DD2" w:rsidRPr="00BD18CC" w:rsidRDefault="005A6DD2" w:rsidP="005A6DD2">
            <w:pPr>
              <w:spacing w:before="100" w:after="100"/>
              <w:rPr>
                <w:rFonts w:cs="Arial"/>
              </w:rPr>
            </w:pPr>
            <w:r w:rsidRPr="00BD18CC">
              <w:rPr>
                <w:rFonts w:cs="Arial"/>
              </w:rPr>
              <w:t xml:space="preserve">Datasets published by the Royal College of Pathologists define the core data items </w:t>
            </w:r>
            <w:r>
              <w:rPr>
                <w:rFonts w:cs="Arial"/>
              </w:rPr>
              <w:t>that</w:t>
            </w:r>
            <w:r w:rsidRPr="00BD18CC">
              <w:rPr>
                <w:rFonts w:cs="Arial"/>
              </w:rPr>
              <w:t xml:space="preserve"> should be included in histopathology reports to ensure all necessary data is provided.</w:t>
            </w:r>
          </w:p>
          <w:p w14:paraId="63BED818" w14:textId="7A065C77" w:rsidR="005A6DD2" w:rsidRPr="009349D7" w:rsidRDefault="005A6DD2" w:rsidP="005A6DD2">
            <w:r w:rsidRPr="00BD18CC">
              <w:rPr>
                <w:rFonts w:cs="Arial"/>
              </w:rPr>
              <w:t xml:space="preserve">In </w:t>
            </w:r>
            <w:r w:rsidRPr="000A602B">
              <w:rPr>
                <w:rFonts w:cs="Arial"/>
              </w:rPr>
              <w:t>2024</w:t>
            </w:r>
            <w:r w:rsidRPr="00BD18CC">
              <w:rPr>
                <w:rFonts w:cs="Arial"/>
              </w:rPr>
              <w:t xml:space="preserve">, the College’s </w:t>
            </w:r>
            <w:r>
              <w:t>Royal College of Pathologists</w:t>
            </w:r>
            <w:r>
              <w:t>’</w:t>
            </w:r>
            <w:r>
              <w:t xml:space="preserve"> </w:t>
            </w:r>
            <w:r w:rsidRPr="005A6DD2">
              <w:rPr>
                <w:i/>
                <w:iCs/>
              </w:rPr>
              <w:t>Tissue pathways for urological pathology</w:t>
            </w:r>
            <w:r>
              <w:t xml:space="preserve"> </w:t>
            </w:r>
            <w:r w:rsidRPr="00BD18CC">
              <w:rPr>
                <w:rFonts w:cs="Arial"/>
              </w:rPr>
              <w:t xml:space="preserve">was published, which lists and discusses the data items to be included when reporting </w:t>
            </w:r>
            <w:r>
              <w:rPr>
                <w:rFonts w:cs="Arial"/>
              </w:rPr>
              <w:t xml:space="preserve">urological </w:t>
            </w:r>
            <w:r w:rsidRPr="00BD18CC">
              <w:rPr>
                <w:rFonts w:cs="Arial"/>
              </w:rPr>
              <w:t>biopsy specimens.</w:t>
            </w:r>
            <w:r w:rsidRPr="00A00873">
              <w:rPr>
                <w:rFonts w:cs="Arial"/>
                <w:vertAlign w:val="superscript"/>
              </w:rPr>
              <w:t>1</w:t>
            </w:r>
            <w:r w:rsidRPr="00C25F7C">
              <w:rPr>
                <w:rFonts w:eastAsia="Aptos" w:cs="Arial"/>
                <w:kern w:val="2"/>
                <w:szCs w:val="24"/>
                <w14:ligatures w14:val="standardContextual"/>
              </w:rPr>
              <w:t xml:space="preserve"> </w:t>
            </w:r>
            <w:r w:rsidRPr="00CC1AB7">
              <w:rPr>
                <w:rFonts w:cs="Arial"/>
              </w:rPr>
              <w:t>This publication provides detailed guidance to pathologists, ensuring uniformity and completeness in the histopathological evaluation of urological tissues, such as those obtained from transurethral resection of the prostate (TURP) procedures.</w:t>
            </w:r>
          </w:p>
        </w:tc>
      </w:tr>
      <w:tr w:rsidR="005A6DD2" w:rsidRPr="00077B16" w14:paraId="0F7C86E3" w14:textId="77777777" w:rsidTr="005A6DD2">
        <w:trPr>
          <w:trHeight w:val="469"/>
        </w:trPr>
        <w:tc>
          <w:tcPr>
            <w:tcW w:w="1737" w:type="dxa"/>
          </w:tcPr>
          <w:p w14:paraId="4492C55B" w14:textId="121BA009" w:rsidR="005A6DD2" w:rsidRPr="009349D7" w:rsidRDefault="005A6DD2" w:rsidP="005A6DD2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891" w:type="dxa"/>
          </w:tcPr>
          <w:p w14:paraId="0B7F6CB0" w14:textId="611632F8" w:rsidR="005A6DD2" w:rsidRPr="00C25F7C" w:rsidRDefault="005A6DD2" w:rsidP="005A6DD2">
            <w:pPr>
              <w:pStyle w:val="ListParagraph"/>
              <w:tabs>
                <w:tab w:val="clear" w:pos="360"/>
              </w:tabs>
            </w:pPr>
            <w:r w:rsidRPr="00C25F7C">
              <w:t>To evaluate the effectiveness of current arrangements in facilitating the reporting of cancer cases and to assess compliance with the RCPath guidelines in a series of reported TURP specimens.</w:t>
            </w:r>
          </w:p>
          <w:p w14:paraId="327961C6" w14:textId="77777777" w:rsidR="005A6DD2" w:rsidRPr="00C25F7C" w:rsidRDefault="005A6DD2" w:rsidP="005A6DD2">
            <w:pPr>
              <w:pStyle w:val="ListParagraph"/>
              <w:tabs>
                <w:tab w:val="clear" w:pos="360"/>
              </w:tabs>
            </w:pPr>
            <w:r w:rsidRPr="00C25F7C">
              <w:t>Determine whether appropriate arrangements are in place to enable the accurate and timely reporting of cancer cases detected in TURP specimens.</w:t>
            </w:r>
          </w:p>
          <w:p w14:paraId="4DAA0B33" w14:textId="75A8A77E" w:rsidR="005A6DD2" w:rsidRPr="00781C28" w:rsidRDefault="005A6DD2" w:rsidP="005A6DD2">
            <w:pPr>
              <w:pStyle w:val="ListParagraph"/>
              <w:tabs>
                <w:tab w:val="clear" w:pos="360"/>
              </w:tabs>
            </w:pPr>
            <w:r w:rsidRPr="00470BEB">
              <w:lastRenderedPageBreak/>
              <w:t>To adhere to the RCPath dataset by reviewing reported TURP cases to ensure consistency and completeness in histopathological reporting</w:t>
            </w:r>
            <w:r w:rsidRPr="00C25F7C">
              <w:t>.</w:t>
            </w:r>
          </w:p>
        </w:tc>
      </w:tr>
      <w:tr w:rsidR="005A6DD2" w:rsidRPr="00077B16" w14:paraId="4FF25260" w14:textId="77777777" w:rsidTr="005A6DD2">
        <w:trPr>
          <w:trHeight w:val="119"/>
        </w:trPr>
        <w:tc>
          <w:tcPr>
            <w:tcW w:w="1737" w:type="dxa"/>
          </w:tcPr>
          <w:p w14:paraId="374F6066" w14:textId="664AEB7E" w:rsidR="005A6DD2" w:rsidRPr="009349D7" w:rsidRDefault="005A6DD2" w:rsidP="005A6DD2">
            <w:pPr>
              <w:pStyle w:val="Rowheading"/>
            </w:pPr>
            <w:r w:rsidRPr="009349D7">
              <w:lastRenderedPageBreak/>
              <w:t>Standards &amp; criteria</w:t>
            </w:r>
          </w:p>
        </w:tc>
        <w:tc>
          <w:tcPr>
            <w:tcW w:w="7891" w:type="dxa"/>
          </w:tcPr>
          <w:p w14:paraId="2CD8E8FE" w14:textId="77777777" w:rsidR="005A6DD2" w:rsidRDefault="005A6DD2" w:rsidP="005A6DD2">
            <w:r w:rsidRPr="009349D7">
              <w:rPr>
                <w:b/>
              </w:rPr>
              <w:t xml:space="preserve">Criteria range: </w:t>
            </w:r>
            <w:r>
              <w:t>100% or, if not achieved, there is documentation that explains the variance.</w:t>
            </w:r>
          </w:p>
          <w:p w14:paraId="783C49BF" w14:textId="702C5B2F" w:rsidR="005A6DD2" w:rsidRDefault="005A6DD2" w:rsidP="005A6DD2">
            <w:pPr>
              <w:ind w:left="-1" w:firstLine="1"/>
            </w:pPr>
            <w:r w:rsidRPr="00CC1AB7">
              <w:rPr>
                <w:b/>
              </w:rPr>
              <w:t xml:space="preserve">Implementation of </w:t>
            </w:r>
            <w:r>
              <w:rPr>
                <w:b/>
              </w:rPr>
              <w:t>g</w:t>
            </w:r>
            <w:r w:rsidRPr="00CC1AB7">
              <w:rPr>
                <w:b/>
              </w:rPr>
              <w:t>uidelines:</w:t>
            </w:r>
            <w:r>
              <w:rPr>
                <w:b/>
              </w:rPr>
              <w:t xml:space="preserve"> </w:t>
            </w:r>
            <w:r>
              <w:t xml:space="preserve">100% of histopathology reports for TURP specimens adhere to the </w:t>
            </w:r>
            <w:r w:rsidRPr="005A6DD2">
              <w:rPr>
                <w:i/>
                <w:iCs/>
              </w:rPr>
              <w:t>Tissue p</w:t>
            </w:r>
            <w:r w:rsidRPr="005A6DD2">
              <w:rPr>
                <w:i/>
                <w:iCs/>
              </w:rPr>
              <w:t xml:space="preserve">athways for </w:t>
            </w:r>
            <w:r w:rsidRPr="005A6DD2">
              <w:rPr>
                <w:i/>
                <w:iCs/>
              </w:rPr>
              <w:t>u</w:t>
            </w:r>
            <w:r w:rsidRPr="005A6DD2">
              <w:rPr>
                <w:i/>
                <w:iCs/>
              </w:rPr>
              <w:t xml:space="preserve">rological </w:t>
            </w:r>
            <w:r>
              <w:rPr>
                <w:i/>
                <w:iCs/>
              </w:rPr>
              <w:t>p</w:t>
            </w:r>
            <w:r w:rsidRPr="005A6DD2">
              <w:rPr>
                <w:i/>
                <w:iCs/>
              </w:rPr>
              <w:t>athology</w:t>
            </w:r>
            <w:r>
              <w:rPr>
                <w:vertAlign w:val="superscript"/>
              </w:rPr>
              <w:t>1</w:t>
            </w:r>
            <w:r>
              <w:t xml:space="preserve"> and the </w:t>
            </w:r>
            <w:r w:rsidRPr="005A6DD2">
              <w:rPr>
                <w:i/>
                <w:iCs/>
              </w:rPr>
              <w:t xml:space="preserve">Dataset for </w:t>
            </w:r>
            <w:r>
              <w:rPr>
                <w:i/>
                <w:iCs/>
              </w:rPr>
              <w:t>h</w:t>
            </w:r>
            <w:r w:rsidRPr="005A6DD2">
              <w:rPr>
                <w:i/>
                <w:iCs/>
              </w:rPr>
              <w:t xml:space="preserve">istopathology </w:t>
            </w:r>
            <w:r>
              <w:rPr>
                <w:i/>
                <w:iCs/>
              </w:rPr>
              <w:t>r</w:t>
            </w:r>
            <w:r w:rsidRPr="005A6DD2">
              <w:rPr>
                <w:i/>
                <w:iCs/>
              </w:rPr>
              <w:t xml:space="preserve">eports for </w:t>
            </w:r>
            <w:r>
              <w:rPr>
                <w:i/>
                <w:iCs/>
              </w:rPr>
              <w:t>p</w:t>
            </w:r>
            <w:r w:rsidRPr="005A6DD2">
              <w:rPr>
                <w:i/>
                <w:iCs/>
              </w:rPr>
              <w:t xml:space="preserve">rostatic </w:t>
            </w:r>
            <w:r>
              <w:rPr>
                <w:i/>
                <w:iCs/>
              </w:rPr>
              <w:t>c</w:t>
            </w:r>
            <w:r w:rsidRPr="005A6DD2">
              <w:rPr>
                <w:i/>
                <w:iCs/>
              </w:rPr>
              <w:t>arcinoma</w:t>
            </w:r>
            <w:r>
              <w:rPr>
                <w:vertAlign w:val="superscript"/>
              </w:rPr>
              <w:t>2</w:t>
            </w:r>
            <w:r>
              <w:t xml:space="preserve"> as defined by the RCPath.</w:t>
            </w:r>
          </w:p>
          <w:p w14:paraId="03FD2A4D" w14:textId="11F03E98" w:rsidR="005A6DD2" w:rsidRDefault="005A6DD2" w:rsidP="005A6DD2">
            <w:r w:rsidRPr="00CC1AB7">
              <w:rPr>
                <w:b/>
              </w:rPr>
              <w:t xml:space="preserve">Turnaround </w:t>
            </w:r>
            <w:r>
              <w:rPr>
                <w:b/>
              </w:rPr>
              <w:t>t</w:t>
            </w:r>
            <w:r w:rsidRPr="00CC1AB7">
              <w:rPr>
                <w:b/>
              </w:rPr>
              <w:t>imes</w:t>
            </w:r>
            <w:r>
              <w:rPr>
                <w:b/>
              </w:rPr>
              <w:t xml:space="preserve"> s</w:t>
            </w:r>
            <w:r w:rsidRPr="005A6DD2">
              <w:rPr>
                <w:b/>
                <w:bCs/>
              </w:rPr>
              <w:t>tandard:</w:t>
            </w:r>
            <w:r>
              <w:t xml:space="preserve"> 80% of cases must be reported within 7 calendar days and 90% within 10 calendar days as recommended by the RCPath.</w:t>
            </w:r>
            <w:r>
              <w:rPr>
                <w:vertAlign w:val="superscript"/>
              </w:rPr>
              <w:t>3</w:t>
            </w:r>
          </w:p>
          <w:p w14:paraId="224C787B" w14:textId="77777777" w:rsidR="005A6DD2" w:rsidRPr="00CC1AB7" w:rsidRDefault="005A6DD2" w:rsidP="005A6DD2">
            <w:pPr>
              <w:rPr>
                <w:b/>
              </w:rPr>
            </w:pPr>
            <w:r w:rsidRPr="00CC1AB7">
              <w:rPr>
                <w:b/>
              </w:rPr>
              <w:t>OR</w:t>
            </w:r>
          </w:p>
          <w:p w14:paraId="44E2E830" w14:textId="489E17B3" w:rsidR="005A6DD2" w:rsidRPr="009349D7" w:rsidRDefault="005A6DD2" w:rsidP="005A6DD2">
            <w:r w:rsidDel="00470BEB">
              <w:t>within locally agreed turnaround times</w:t>
            </w:r>
            <w:r>
              <w:t>,</w:t>
            </w:r>
            <w:r w:rsidDel="00470BEB">
              <w:t xml:space="preserve"> if appropriate</w:t>
            </w:r>
            <w:r>
              <w:t>.</w:t>
            </w:r>
          </w:p>
        </w:tc>
      </w:tr>
      <w:tr w:rsidR="005A6DD2" w:rsidRPr="00077B16" w14:paraId="14094681" w14:textId="77777777" w:rsidTr="005A6DD2">
        <w:trPr>
          <w:cantSplit/>
          <w:trHeight w:val="469"/>
        </w:trPr>
        <w:tc>
          <w:tcPr>
            <w:tcW w:w="1737" w:type="dxa"/>
          </w:tcPr>
          <w:p w14:paraId="1E4F1E05" w14:textId="77777777" w:rsidR="005A6DD2" w:rsidRPr="009349D7" w:rsidRDefault="005A6DD2" w:rsidP="005A6DD2">
            <w:pPr>
              <w:pStyle w:val="Rowheading"/>
            </w:pPr>
            <w:r w:rsidRPr="009349D7">
              <w:t>Method</w:t>
            </w:r>
          </w:p>
          <w:p w14:paraId="5C3F63EE" w14:textId="77777777" w:rsidR="005A6DD2" w:rsidRPr="009349D7" w:rsidRDefault="005A6DD2" w:rsidP="005A6DD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06E9918F" w14:textId="7A7CDD5E" w:rsidR="005A6DD2" w:rsidRPr="009349D7" w:rsidRDefault="005A6DD2" w:rsidP="005A6DD2">
            <w:pPr>
              <w:rPr>
                <w:b/>
              </w:rPr>
            </w:pPr>
            <w:r w:rsidRPr="009349D7">
              <w:rPr>
                <w:b/>
              </w:rPr>
              <w:t xml:space="preserve">Sample selection: </w:t>
            </w:r>
            <w:r w:rsidRPr="00952DFE">
              <w:rPr>
                <w:rStyle w:val="BodytextredfontChar"/>
              </w:rPr>
              <w:t>(To be completed by the author)</w:t>
            </w:r>
          </w:p>
          <w:p w14:paraId="404A04BD" w14:textId="73FFF6A1" w:rsidR="005A6DD2" w:rsidRPr="009349D7" w:rsidRDefault="005A6DD2" w:rsidP="005A6DD2">
            <w:pPr>
              <w:rPr>
                <w:b/>
                <w:color w:val="000000"/>
              </w:rPr>
            </w:pPr>
            <w:r w:rsidRPr="000C2203">
              <w:rPr>
                <w:rStyle w:val="BodytextredfontChar"/>
                <w:color w:val="000000" w:themeColor="text1"/>
              </w:rPr>
              <w:t>Specimen request forms and finalised reports on TURP specimens received</w:t>
            </w:r>
            <w:r>
              <w:rPr>
                <w:rStyle w:val="BodytextredfontChar"/>
                <w:color w:val="000000" w:themeColor="text1"/>
              </w:rPr>
              <w:t xml:space="preserve"> </w:t>
            </w:r>
            <w:r w:rsidRPr="000C2203">
              <w:rPr>
                <w:rStyle w:val="BodytextredfontChar"/>
                <w:color w:val="000000" w:themeColor="text1"/>
              </w:rPr>
              <w:t>within</w:t>
            </w:r>
            <w:r w:rsidRPr="00782143">
              <w:rPr>
                <w:rStyle w:val="BodytextredfontChar"/>
                <w:color w:val="000000" w:themeColor="text1"/>
              </w:rPr>
              <w:t xml:space="preserve"> the </w:t>
            </w:r>
            <w:proofErr w:type="gramStart"/>
            <w:r w:rsidRPr="00782143">
              <w:rPr>
                <w:rStyle w:val="BodytextredfontChar"/>
                <w:color w:val="000000" w:themeColor="text1"/>
              </w:rPr>
              <w:t>time period</w:t>
            </w:r>
            <w:proofErr w:type="gramEnd"/>
            <w:r w:rsidRPr="00782143">
              <w:rPr>
                <w:rStyle w:val="BodytextredfontChar"/>
                <w:color w:val="000000" w:themeColor="text1"/>
              </w:rPr>
              <w:t xml:space="preserve"> from … to … </w:t>
            </w:r>
            <w:r w:rsidRPr="000C2203">
              <w:rPr>
                <w:rStyle w:val="BodytextredfontChar"/>
                <w:color w:val="000000" w:themeColor="text1"/>
              </w:rPr>
              <w:t xml:space="preserve">over </w:t>
            </w:r>
            <w:r>
              <w:rPr>
                <w:rStyle w:val="BodytextredfontChar"/>
                <w:color w:val="000000" w:themeColor="text1"/>
              </w:rPr>
              <w:t xml:space="preserve">(e.g. period of </w:t>
            </w:r>
            <w:r w:rsidRPr="000C2203">
              <w:rPr>
                <w:rStyle w:val="BodytextredfontChar"/>
                <w:color w:val="000000" w:themeColor="text1"/>
              </w:rPr>
              <w:t>6 months</w:t>
            </w:r>
            <w:r>
              <w:rPr>
                <w:rStyle w:val="BodytextredfontChar"/>
                <w:color w:val="000000" w:themeColor="text1"/>
              </w:rPr>
              <w:t>)</w:t>
            </w:r>
            <w:r w:rsidRPr="000C2203">
              <w:rPr>
                <w:rStyle w:val="BodytextredfontChar"/>
                <w:color w:val="000000" w:themeColor="text1"/>
              </w:rPr>
              <w:t xml:space="preserve"> </w:t>
            </w:r>
            <w:r>
              <w:rPr>
                <w:rStyle w:val="BodytextredfontChar"/>
                <w:color w:val="000000" w:themeColor="text1"/>
              </w:rPr>
              <w:t>to be rev</w:t>
            </w:r>
            <w:r w:rsidRPr="000C2203">
              <w:rPr>
                <w:rStyle w:val="BodytextredfontChar"/>
                <w:color w:val="000000" w:themeColor="text1"/>
              </w:rPr>
              <w:t xml:space="preserve">iewed and compliance with the standards in </w:t>
            </w:r>
            <w:r>
              <w:rPr>
                <w:rStyle w:val="BodytextredfontChar"/>
                <w:color w:val="000000" w:themeColor="text1"/>
              </w:rPr>
              <w:t>t</w:t>
            </w:r>
            <w:r w:rsidRPr="00782143">
              <w:rPr>
                <w:rStyle w:val="BodytextredfontChar"/>
                <w:color w:val="000000" w:themeColor="text1"/>
              </w:rPr>
              <w:t>issue pathways for urological patholog</w:t>
            </w:r>
            <w:r>
              <w:rPr>
                <w:rStyle w:val="BodytextredfontChar"/>
                <w:color w:val="000000" w:themeColor="text1"/>
              </w:rPr>
              <w:t xml:space="preserve">y of the </w:t>
            </w:r>
            <w:r w:rsidRPr="00782143">
              <w:rPr>
                <w:rStyle w:val="BodytextredfontChar"/>
                <w:color w:val="000000" w:themeColor="text1"/>
              </w:rPr>
              <w:t>Royal College of Pathologists</w:t>
            </w:r>
            <w:r>
              <w:rPr>
                <w:rStyle w:val="BodytextredfontChar"/>
                <w:color w:val="000000" w:themeColor="text1"/>
              </w:rPr>
              <w:t>.</w:t>
            </w:r>
            <w:r>
              <w:rPr>
                <w:rStyle w:val="BodytextredfontChar"/>
                <w:color w:val="000000" w:themeColor="text1"/>
                <w:vertAlign w:val="superscript"/>
              </w:rPr>
              <w:t>1,3</w:t>
            </w:r>
          </w:p>
          <w:p w14:paraId="2E47D027" w14:textId="50EB6478" w:rsidR="005A6DD2" w:rsidRPr="009349D7" w:rsidRDefault="005A6DD2" w:rsidP="005A6DD2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5A6DD2" w:rsidRPr="00077B16" w14:paraId="4EF29E2B" w14:textId="77777777" w:rsidTr="005A6DD2">
        <w:trPr>
          <w:trHeight w:val="469"/>
        </w:trPr>
        <w:tc>
          <w:tcPr>
            <w:tcW w:w="1737" w:type="dxa"/>
          </w:tcPr>
          <w:p w14:paraId="42E290A4" w14:textId="77777777" w:rsidR="005A6DD2" w:rsidRPr="009349D7" w:rsidRDefault="005A6DD2" w:rsidP="005A6DD2">
            <w:pPr>
              <w:pStyle w:val="Rowheading"/>
            </w:pPr>
            <w:r w:rsidRPr="009349D7">
              <w:t>Results</w:t>
            </w:r>
          </w:p>
        </w:tc>
        <w:tc>
          <w:tcPr>
            <w:tcW w:w="7891" w:type="dxa"/>
          </w:tcPr>
          <w:p w14:paraId="08D3ABE3" w14:textId="77777777" w:rsidR="005A6DD2" w:rsidRPr="009349D7" w:rsidRDefault="005A6DD2" w:rsidP="005A6DD2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5A6DD2" w:rsidRPr="009349D7" w:rsidRDefault="005A6DD2" w:rsidP="005A6DD2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5A6DD2" w:rsidRPr="009349D7" w14:paraId="624323B5" w14:textId="77777777" w:rsidTr="005A6DD2">
              <w:trPr>
                <w:trHeight w:val="300"/>
              </w:trPr>
              <w:tc>
                <w:tcPr>
                  <w:tcW w:w="3430" w:type="dxa"/>
                </w:tcPr>
                <w:p w14:paraId="72ED8FD1" w14:textId="4906C1C8" w:rsidR="005A6DD2" w:rsidRPr="009349D7" w:rsidRDefault="005A6DD2" w:rsidP="005A6DD2">
                  <w:pPr>
                    <w:pStyle w:val="Tabletext"/>
                  </w:pPr>
                  <w:r>
                    <w:rPr>
                      <w:rFonts w:cs="Arial"/>
                      <w:b/>
                      <w:color w:val="000000"/>
                    </w:rPr>
                    <w:t>D</w:t>
                  </w:r>
                  <w:r w:rsidRPr="00E25DFB">
                    <w:rPr>
                      <w:rFonts w:cs="Arial"/>
                      <w:b/>
                      <w:color w:val="000000"/>
                    </w:rPr>
                    <w:t>ata items</w:t>
                  </w:r>
                </w:p>
              </w:tc>
              <w:tc>
                <w:tcPr>
                  <w:tcW w:w="3969" w:type="dxa"/>
                </w:tcPr>
                <w:p w14:paraId="0DBB373F" w14:textId="77777777" w:rsidR="005A6DD2" w:rsidRPr="009349D7" w:rsidRDefault="005A6DD2" w:rsidP="005A6DD2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5A6DD2" w:rsidRPr="009349D7" w14:paraId="26EEAC2E" w14:textId="77777777" w:rsidTr="005A6DD2">
              <w:trPr>
                <w:trHeight w:val="300"/>
              </w:trPr>
              <w:tc>
                <w:tcPr>
                  <w:tcW w:w="3430" w:type="dxa"/>
                </w:tcPr>
                <w:p w14:paraId="5BAE62E7" w14:textId="2344E169" w:rsidR="005A6DD2" w:rsidRPr="009349D7" w:rsidRDefault="005A6DD2" w:rsidP="005A6DD2">
                  <w:pPr>
                    <w:pStyle w:val="Tabletext"/>
                  </w:pPr>
                  <w:r>
                    <w:t>I</w:t>
                  </w:r>
                  <w:r w:rsidRPr="00CB6F9A">
                    <w:t xml:space="preserve">ndication for </w:t>
                  </w:r>
                  <w:r>
                    <w:t>TURP</w:t>
                  </w:r>
                  <w:r w:rsidRPr="00CB6F9A">
                    <w:t xml:space="preserve"> mentioned.  </w:t>
                  </w:r>
                </w:p>
              </w:tc>
              <w:tc>
                <w:tcPr>
                  <w:tcW w:w="3969" w:type="dxa"/>
                </w:tcPr>
                <w:p w14:paraId="3E06D38D" w14:textId="77777777" w:rsidR="005A6DD2" w:rsidRPr="009349D7" w:rsidRDefault="005A6DD2" w:rsidP="005A6DD2">
                  <w:pPr>
                    <w:pStyle w:val="Tabletext"/>
                  </w:pPr>
                </w:p>
              </w:tc>
            </w:tr>
            <w:tr w:rsidR="005A6DD2" w:rsidRPr="009349D7" w14:paraId="17E1314A" w14:textId="77777777" w:rsidTr="005A6DD2">
              <w:trPr>
                <w:trHeight w:val="300"/>
              </w:trPr>
              <w:tc>
                <w:tcPr>
                  <w:tcW w:w="3430" w:type="dxa"/>
                </w:tcPr>
                <w:p w14:paraId="165A950A" w14:textId="1AD09726" w:rsidR="005A6DD2" w:rsidRPr="009349D7" w:rsidRDefault="005A6DD2" w:rsidP="005A6DD2">
                  <w:pPr>
                    <w:pStyle w:val="Tabletext"/>
                  </w:pPr>
                  <w:r>
                    <w:t>PSA levels mentioned?</w:t>
                  </w:r>
                </w:p>
              </w:tc>
              <w:tc>
                <w:tcPr>
                  <w:tcW w:w="3969" w:type="dxa"/>
                </w:tcPr>
                <w:p w14:paraId="75E972AC" w14:textId="77777777" w:rsidR="005A6DD2" w:rsidRPr="009349D7" w:rsidRDefault="005A6DD2" w:rsidP="005A6DD2">
                  <w:pPr>
                    <w:pStyle w:val="Tabletext"/>
                  </w:pPr>
                </w:p>
              </w:tc>
            </w:tr>
            <w:tr w:rsidR="005A6DD2" w:rsidRPr="009349D7" w14:paraId="25559A8D" w14:textId="77777777" w:rsidTr="005A6DD2">
              <w:trPr>
                <w:trHeight w:val="300"/>
              </w:trPr>
              <w:tc>
                <w:tcPr>
                  <w:tcW w:w="3430" w:type="dxa"/>
                </w:tcPr>
                <w:p w14:paraId="400140F1" w14:textId="0666D7B2" w:rsidR="005A6DD2" w:rsidRPr="009349D7" w:rsidRDefault="005A6DD2" w:rsidP="005A6DD2">
                  <w:pPr>
                    <w:pStyle w:val="Tabletext"/>
                    <w:rPr>
                      <w:b/>
                      <w:bCs/>
                    </w:rPr>
                  </w:pPr>
                  <w:r w:rsidRPr="00CB6F9A">
                    <w:t xml:space="preserve">Weight </w:t>
                  </w:r>
                  <w:r>
                    <w:t xml:space="preserve">measured? </w:t>
                  </w:r>
                </w:p>
              </w:tc>
              <w:tc>
                <w:tcPr>
                  <w:tcW w:w="3969" w:type="dxa"/>
                </w:tcPr>
                <w:p w14:paraId="0C1BE610" w14:textId="77777777" w:rsidR="005A6DD2" w:rsidRPr="009349D7" w:rsidRDefault="005A6DD2" w:rsidP="005A6DD2">
                  <w:pPr>
                    <w:pStyle w:val="Tabletext"/>
                  </w:pPr>
                </w:p>
              </w:tc>
            </w:tr>
            <w:tr w:rsidR="005A6DD2" w:rsidRPr="009349D7" w14:paraId="24DC0D94" w14:textId="77777777" w:rsidTr="005A6DD2">
              <w:trPr>
                <w:trHeight w:val="300"/>
              </w:trPr>
              <w:tc>
                <w:tcPr>
                  <w:tcW w:w="3430" w:type="dxa"/>
                </w:tcPr>
                <w:p w14:paraId="4D445EAC" w14:textId="326D6B8E" w:rsidR="005A6DD2" w:rsidRPr="009349D7" w:rsidRDefault="005A6DD2" w:rsidP="005A6DD2">
                  <w:pPr>
                    <w:pStyle w:val="Tabletext"/>
                  </w:pPr>
                  <w:r>
                    <w:t xml:space="preserve">% of </w:t>
                  </w:r>
                  <w:r w:rsidRPr="00CB6F9A">
                    <w:t xml:space="preserve">tissue embedded </w:t>
                  </w:r>
                  <w:r>
                    <w:t>(or number of cassettes)</w:t>
                  </w:r>
                </w:p>
              </w:tc>
              <w:tc>
                <w:tcPr>
                  <w:tcW w:w="3969" w:type="dxa"/>
                </w:tcPr>
                <w:p w14:paraId="6A0A368F" w14:textId="77777777" w:rsidR="005A6DD2" w:rsidRPr="009349D7" w:rsidRDefault="005A6DD2" w:rsidP="005A6DD2">
                  <w:pPr>
                    <w:pStyle w:val="Tabletext"/>
                  </w:pPr>
                </w:p>
              </w:tc>
            </w:tr>
            <w:tr w:rsidR="005A6DD2" w:rsidRPr="009349D7" w14:paraId="0EC6E438" w14:textId="77777777" w:rsidTr="005A6DD2">
              <w:trPr>
                <w:trHeight w:val="300"/>
              </w:trPr>
              <w:tc>
                <w:tcPr>
                  <w:tcW w:w="3430" w:type="dxa"/>
                </w:tcPr>
                <w:p w14:paraId="55056999" w14:textId="2AC400A7" w:rsidR="005A6DD2" w:rsidRPr="009349D7" w:rsidRDefault="005A6DD2" w:rsidP="005A6DD2">
                  <w:pPr>
                    <w:pStyle w:val="Tabletext"/>
                  </w:pPr>
                  <w:r>
                    <w:t>Immunohistochemistry required?</w:t>
                  </w:r>
                </w:p>
              </w:tc>
              <w:tc>
                <w:tcPr>
                  <w:tcW w:w="3969" w:type="dxa"/>
                </w:tcPr>
                <w:p w14:paraId="3EE5BE6B" w14:textId="77777777" w:rsidR="005A6DD2" w:rsidRPr="009349D7" w:rsidRDefault="005A6DD2" w:rsidP="005A6DD2">
                  <w:pPr>
                    <w:pStyle w:val="Tabletext"/>
                  </w:pPr>
                </w:p>
              </w:tc>
            </w:tr>
            <w:tr w:rsidR="005A6DD2" w:rsidRPr="009349D7" w14:paraId="15FD2B11" w14:textId="77777777" w:rsidTr="005A6DD2">
              <w:trPr>
                <w:trHeight w:val="300"/>
              </w:trPr>
              <w:tc>
                <w:tcPr>
                  <w:tcW w:w="3430" w:type="dxa"/>
                </w:tcPr>
                <w:p w14:paraId="30C13420" w14:textId="3C59C6E2" w:rsidR="005A6DD2" w:rsidRPr="009349D7" w:rsidRDefault="005A6DD2" w:rsidP="005A6DD2">
                  <w:pPr>
                    <w:pStyle w:val="Tabletext"/>
                  </w:pPr>
                  <w:r>
                    <w:lastRenderedPageBreak/>
                    <w:t>% malignant?</w:t>
                  </w:r>
                </w:p>
              </w:tc>
              <w:tc>
                <w:tcPr>
                  <w:tcW w:w="3969" w:type="dxa"/>
                </w:tcPr>
                <w:p w14:paraId="1F18D056" w14:textId="77777777" w:rsidR="005A6DD2" w:rsidRPr="009349D7" w:rsidRDefault="005A6DD2" w:rsidP="005A6DD2">
                  <w:pPr>
                    <w:pStyle w:val="Tabletext"/>
                  </w:pPr>
                </w:p>
              </w:tc>
            </w:tr>
            <w:tr w:rsidR="005A6DD2" w:rsidRPr="009349D7" w14:paraId="5350E8F4" w14:textId="77777777" w:rsidTr="005A6DD2">
              <w:trPr>
                <w:cantSplit/>
                <w:trHeight w:val="122"/>
              </w:trPr>
              <w:tc>
                <w:tcPr>
                  <w:tcW w:w="3430" w:type="dxa"/>
                </w:tcPr>
                <w:p w14:paraId="4933DCFD" w14:textId="5B2F9920" w:rsidR="005A6DD2" w:rsidRPr="009349D7" w:rsidRDefault="005A6DD2" w:rsidP="005A6DD2">
                  <w:pPr>
                    <w:pStyle w:val="Tabletext"/>
                  </w:pPr>
                  <w:r w:rsidRPr="005557CE">
                    <w:t>Note the absence of invasive prostatic adenocarcinoma, or PIN</w:t>
                  </w:r>
                  <w:r>
                    <w:t>. If tumour present,</w:t>
                  </w:r>
                  <w:r w:rsidRPr="008A427A">
                    <w:t xml:space="preserve"> were core data items required by the RCPath prostate cancer dataset reported</w:t>
                  </w:r>
                  <w:r>
                    <w:t>?</w:t>
                  </w:r>
                  <w:r w:rsidRPr="000C2203">
                    <w:t xml:space="preserve"> </w:t>
                  </w:r>
                </w:p>
              </w:tc>
              <w:tc>
                <w:tcPr>
                  <w:tcW w:w="3969" w:type="dxa"/>
                </w:tcPr>
                <w:p w14:paraId="7669C8FF" w14:textId="77777777" w:rsidR="005A6DD2" w:rsidRPr="009349D7" w:rsidRDefault="005A6DD2" w:rsidP="005A6DD2">
                  <w:pPr>
                    <w:pStyle w:val="Tabletext"/>
                  </w:pPr>
                </w:p>
              </w:tc>
            </w:tr>
            <w:tr w:rsidR="005A6DD2" w:rsidRPr="009349D7" w14:paraId="7DD9ACF3" w14:textId="77777777" w:rsidTr="005A6DD2">
              <w:trPr>
                <w:cantSplit/>
                <w:trHeight w:val="121"/>
              </w:trPr>
              <w:tc>
                <w:tcPr>
                  <w:tcW w:w="3430" w:type="dxa"/>
                </w:tcPr>
                <w:p w14:paraId="6B69C935" w14:textId="29800EA9" w:rsidR="005A6DD2" w:rsidRPr="009349D7" w:rsidRDefault="005A6DD2" w:rsidP="005A6DD2">
                  <w:pPr>
                    <w:pStyle w:val="Tabletext"/>
                  </w:pPr>
                  <w:r w:rsidRPr="005557CE">
                    <w:rPr>
                      <w:rFonts w:cs="Arial"/>
                    </w:rPr>
                    <w:t xml:space="preserve">Note </w:t>
                  </w:r>
                  <w:r>
                    <w:rPr>
                      <w:rFonts w:cs="Arial"/>
                    </w:rPr>
                    <w:t xml:space="preserve">if </w:t>
                  </w:r>
                  <w:r w:rsidRPr="005557CE">
                    <w:rPr>
                      <w:rFonts w:cs="Arial"/>
                    </w:rPr>
                    <w:t>any urothelial abnormality present</w:t>
                  </w:r>
                </w:p>
              </w:tc>
              <w:tc>
                <w:tcPr>
                  <w:tcW w:w="3969" w:type="dxa"/>
                </w:tcPr>
                <w:p w14:paraId="1168D5AB" w14:textId="77777777" w:rsidR="005A6DD2" w:rsidRPr="009349D7" w:rsidRDefault="005A6DD2" w:rsidP="005A6DD2">
                  <w:pPr>
                    <w:pStyle w:val="Tabletext"/>
                  </w:pPr>
                </w:p>
              </w:tc>
            </w:tr>
            <w:tr w:rsidR="005A6DD2" w:rsidRPr="009349D7" w14:paraId="163855E9" w14:textId="77777777" w:rsidTr="005A6DD2">
              <w:trPr>
                <w:trHeight w:val="300"/>
              </w:trPr>
              <w:tc>
                <w:tcPr>
                  <w:tcW w:w="3430" w:type="dxa"/>
                </w:tcPr>
                <w:p w14:paraId="478F75EB" w14:textId="3346F4B2" w:rsidR="005A6DD2" w:rsidRPr="009349D7" w:rsidRDefault="005A6DD2" w:rsidP="005A6DD2">
                  <w:pPr>
                    <w:pStyle w:val="Tabletext"/>
                  </w:pPr>
                  <w:r>
                    <w:rPr>
                      <w:rFonts w:cs="Arial"/>
                    </w:rPr>
                    <w:t>Turnaround times</w:t>
                  </w:r>
                </w:p>
              </w:tc>
              <w:tc>
                <w:tcPr>
                  <w:tcW w:w="3969" w:type="dxa"/>
                </w:tcPr>
                <w:p w14:paraId="2B311D28" w14:textId="77777777" w:rsidR="005A6DD2" w:rsidRPr="009349D7" w:rsidRDefault="005A6DD2" w:rsidP="005A6DD2">
                  <w:pPr>
                    <w:pStyle w:val="Tabletext"/>
                  </w:pPr>
                </w:p>
              </w:tc>
            </w:tr>
          </w:tbl>
          <w:p w14:paraId="3689BFB0" w14:textId="77777777" w:rsidR="005A6DD2" w:rsidRPr="009349D7" w:rsidRDefault="005A6DD2" w:rsidP="005A6DD2">
            <w:pPr>
              <w:rPr>
                <w:rFonts w:cs="Arial"/>
                <w:b/>
                <w:szCs w:val="24"/>
              </w:rPr>
            </w:pPr>
          </w:p>
          <w:p w14:paraId="33C1ABC1" w14:textId="1821AEB8" w:rsidR="005A6DD2" w:rsidRPr="0029610F" w:rsidRDefault="005A6DD2" w:rsidP="005A6DD2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5A6DD2" w:rsidRPr="009349D7" w:rsidRDefault="005A6DD2" w:rsidP="005A6DD2">
            <w:pPr>
              <w:rPr>
                <w:rFonts w:cs="Arial"/>
                <w:b/>
                <w:szCs w:val="24"/>
              </w:rPr>
            </w:pPr>
          </w:p>
        </w:tc>
      </w:tr>
      <w:tr w:rsidR="005A6DD2" w:rsidRPr="00077B16" w14:paraId="0B06E3F0" w14:textId="77777777" w:rsidTr="005A6DD2">
        <w:trPr>
          <w:trHeight w:val="469"/>
        </w:trPr>
        <w:tc>
          <w:tcPr>
            <w:tcW w:w="1737" w:type="dxa"/>
          </w:tcPr>
          <w:p w14:paraId="4CAABCEC" w14:textId="77777777" w:rsidR="005A6DD2" w:rsidRPr="009349D7" w:rsidRDefault="005A6DD2" w:rsidP="005A6DD2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891" w:type="dxa"/>
          </w:tcPr>
          <w:p w14:paraId="54F6617D" w14:textId="2A569065" w:rsidR="005A6DD2" w:rsidRPr="009349D7" w:rsidRDefault="005A6DD2" w:rsidP="005A6DD2">
            <w:pPr>
              <w:pStyle w:val="Bodytextredfont"/>
            </w:pPr>
            <w:r w:rsidRPr="009349D7">
              <w:t>(To be completed by the author)</w:t>
            </w:r>
          </w:p>
        </w:tc>
      </w:tr>
      <w:tr w:rsidR="005A6DD2" w:rsidRPr="00077B16" w14:paraId="5BF6DC79" w14:textId="77777777" w:rsidTr="005A6DD2">
        <w:trPr>
          <w:trHeight w:val="58"/>
        </w:trPr>
        <w:tc>
          <w:tcPr>
            <w:tcW w:w="1737" w:type="dxa"/>
          </w:tcPr>
          <w:p w14:paraId="22631467" w14:textId="77777777" w:rsidR="005A6DD2" w:rsidRPr="009349D7" w:rsidRDefault="005A6DD2" w:rsidP="005A6DD2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4E127F52" w14:textId="77777777" w:rsidR="005A6DD2" w:rsidRPr="009349D7" w:rsidRDefault="005A6DD2" w:rsidP="005A6DD2">
            <w:pPr>
              <w:pStyle w:val="Rowheading"/>
            </w:pPr>
          </w:p>
          <w:p w14:paraId="7AD9482C" w14:textId="77777777" w:rsidR="005A6DD2" w:rsidRPr="009349D7" w:rsidRDefault="005A6DD2" w:rsidP="005A6DD2">
            <w:pPr>
              <w:pStyle w:val="Rowheading"/>
            </w:pPr>
          </w:p>
          <w:p w14:paraId="6ED49695" w14:textId="77777777" w:rsidR="005A6DD2" w:rsidRPr="009349D7" w:rsidRDefault="005A6DD2" w:rsidP="005A6DD2">
            <w:pPr>
              <w:pStyle w:val="Rowheading"/>
            </w:pPr>
          </w:p>
        </w:tc>
        <w:tc>
          <w:tcPr>
            <w:tcW w:w="7891" w:type="dxa"/>
          </w:tcPr>
          <w:p w14:paraId="6CA1B6E8" w14:textId="75044DDB" w:rsidR="005A6DD2" w:rsidRPr="009349D7" w:rsidRDefault="005A6DD2" w:rsidP="005A6DD2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  <w:p w14:paraId="12F2C7F6" w14:textId="77777777" w:rsidR="005A6DD2" w:rsidRPr="0029610F" w:rsidRDefault="005A6DD2" w:rsidP="005A6DD2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1DD0112F" w14:textId="77777777" w:rsidR="005A6DD2" w:rsidRDefault="005A6DD2" w:rsidP="005A6DD2">
            <w:pPr>
              <w:pStyle w:val="ListBullet"/>
            </w:pPr>
            <w:r>
              <w:t>h</w:t>
            </w:r>
            <w:r w:rsidRPr="006E1FD4">
              <w:t>ighlight areas of practice that are different</w:t>
            </w:r>
          </w:p>
          <w:p w14:paraId="522FFDE8" w14:textId="77777777" w:rsidR="005A6DD2" w:rsidRPr="006E1FD4" w:rsidRDefault="005A6DD2" w:rsidP="005A6DD2">
            <w:pPr>
              <w:pStyle w:val="ListBullet"/>
            </w:pPr>
            <w:r>
              <w:t>a</w:t>
            </w:r>
            <w:r w:rsidRPr="006E1FD4">
              <w:t>ny deficiencies should be identified (e.g. in providing PSA and recording weight)</w:t>
            </w:r>
          </w:p>
          <w:p w14:paraId="162C9236" w14:textId="77777777" w:rsidR="005A6DD2" w:rsidRDefault="005A6DD2" w:rsidP="005A6DD2">
            <w:pPr>
              <w:pStyle w:val="ListBullet"/>
            </w:pPr>
            <w:r>
              <w:t>a</w:t>
            </w:r>
            <w:r w:rsidRPr="007A3011">
              <w:t>wareness on complete clinical, radiology and serological findings is important for acc</w:t>
            </w:r>
            <w:r>
              <w:t xml:space="preserve">urate histopathology reporting </w:t>
            </w:r>
            <w:r w:rsidRPr="007A3011">
              <w:t xml:space="preserve">and the </w:t>
            </w:r>
            <w:r>
              <w:t>i</w:t>
            </w:r>
            <w:r w:rsidRPr="007A3011">
              <w:t>mportance of providing such information should be emphasised</w:t>
            </w:r>
          </w:p>
          <w:p w14:paraId="1C0DE42A" w14:textId="46F1EECB" w:rsidR="005A6DD2" w:rsidRPr="009349D7" w:rsidRDefault="005A6DD2" w:rsidP="005A6DD2">
            <w:pPr>
              <w:pStyle w:val="ListBullet"/>
            </w:pPr>
            <w:r>
              <w:t>p</w:t>
            </w:r>
            <w:r w:rsidRPr="007A3011">
              <w:t>resent findings.</w:t>
            </w:r>
          </w:p>
        </w:tc>
      </w:tr>
      <w:tr w:rsidR="005A6DD2" w:rsidRPr="00077B16" w14:paraId="3AB83BB0" w14:textId="77777777" w:rsidTr="005A6DD2">
        <w:trPr>
          <w:trHeight w:val="58"/>
        </w:trPr>
        <w:tc>
          <w:tcPr>
            <w:tcW w:w="1737" w:type="dxa"/>
          </w:tcPr>
          <w:p w14:paraId="7B1DBC85" w14:textId="1FF56588" w:rsidR="005A6DD2" w:rsidRPr="009349D7" w:rsidRDefault="005A6DD2" w:rsidP="005A6DD2">
            <w:pPr>
              <w:pStyle w:val="Rowheading"/>
            </w:pPr>
            <w:r w:rsidRPr="009349D7">
              <w:t>Action plan</w:t>
            </w:r>
          </w:p>
        </w:tc>
        <w:tc>
          <w:tcPr>
            <w:tcW w:w="7891" w:type="dxa"/>
          </w:tcPr>
          <w:p w14:paraId="3ED634E6" w14:textId="3A02274B" w:rsidR="005A6DD2" w:rsidRPr="009349D7" w:rsidRDefault="005A6DD2" w:rsidP="005A6DD2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5A6DD2" w:rsidRPr="00077B16" w14:paraId="2456F3A2" w14:textId="77777777" w:rsidTr="005A6DD2">
        <w:trPr>
          <w:trHeight w:val="58"/>
        </w:trPr>
        <w:tc>
          <w:tcPr>
            <w:tcW w:w="1737" w:type="dxa"/>
          </w:tcPr>
          <w:p w14:paraId="2874F728" w14:textId="77777777" w:rsidR="005A6DD2" w:rsidRPr="009349D7" w:rsidRDefault="005A6DD2" w:rsidP="005A6DD2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5A6DD2" w:rsidRPr="009349D7" w:rsidRDefault="005A6DD2" w:rsidP="005A6DD2">
            <w:pPr>
              <w:pStyle w:val="Bodytextredfont"/>
            </w:pPr>
            <w:r w:rsidRPr="009349D7">
              <w:t>(To be completed by the author)</w:t>
            </w:r>
          </w:p>
        </w:tc>
      </w:tr>
      <w:tr w:rsidR="005A6DD2" w:rsidRPr="00077B16" w14:paraId="7E5BF0AE" w14:textId="77777777" w:rsidTr="005A6DD2">
        <w:trPr>
          <w:trHeight w:val="469"/>
        </w:trPr>
        <w:tc>
          <w:tcPr>
            <w:tcW w:w="1737" w:type="dxa"/>
          </w:tcPr>
          <w:p w14:paraId="6DDCB30D" w14:textId="4FB705CA" w:rsidR="005A6DD2" w:rsidRPr="009349D7" w:rsidRDefault="005A6DD2" w:rsidP="005A6DD2">
            <w:pPr>
              <w:pStyle w:val="Rowheading"/>
            </w:pPr>
            <w:r w:rsidRPr="009349D7">
              <w:t>References</w:t>
            </w:r>
          </w:p>
          <w:p w14:paraId="36CD5C27" w14:textId="16D11343" w:rsidR="005A6DD2" w:rsidRPr="009349D7" w:rsidRDefault="005A6DD2" w:rsidP="005A6DD2">
            <w:pPr>
              <w:pStyle w:val="Rowheading"/>
            </w:pPr>
          </w:p>
        </w:tc>
        <w:tc>
          <w:tcPr>
            <w:tcW w:w="7891" w:type="dxa"/>
          </w:tcPr>
          <w:p w14:paraId="3475739F" w14:textId="46A483D8" w:rsidR="005A6DD2" w:rsidRPr="00754BC6" w:rsidRDefault="005A6DD2" w:rsidP="005A6DD2">
            <w:pPr>
              <w:pStyle w:val="Numberedlist"/>
            </w:pPr>
            <w:r w:rsidRPr="00754BC6">
              <w:t xml:space="preserve">Royal College of Pathologists. </w:t>
            </w:r>
            <w:r w:rsidRPr="00754BC6">
              <w:rPr>
                <w:i/>
                <w:iCs/>
              </w:rPr>
              <w:t>Tissue pathways for urological pathology</w:t>
            </w:r>
            <w:r w:rsidRPr="00754BC6">
              <w:t xml:space="preserve">. Available at:  </w:t>
            </w:r>
            <w:r w:rsidRPr="00754BC6">
              <w:br/>
            </w:r>
            <w:hyperlink w:history="1">
              <w:r w:rsidRPr="00754BC6">
                <w:rPr>
                  <w:rStyle w:val="Hyperlink"/>
                </w:rPr>
                <w:t>https://www.rcpath.org/profession/guidelines/cancer-datasets-and-tissue-pathways.html#</w:t>
              </w:r>
            </w:hyperlink>
            <w:r w:rsidRPr="00754BC6">
              <w:t xml:space="preserve"> </w:t>
            </w:r>
          </w:p>
          <w:p w14:paraId="18E171C2" w14:textId="2CEACC18" w:rsidR="005A6DD2" w:rsidRPr="00754BC6" w:rsidRDefault="005A6DD2" w:rsidP="005A6DD2">
            <w:pPr>
              <w:pStyle w:val="Numberedlist"/>
              <w:rPr>
                <w:rStyle w:val="Hyperlink"/>
                <w:color w:val="auto"/>
                <w:u w:val="none"/>
              </w:rPr>
            </w:pPr>
            <w:r w:rsidRPr="00754BC6">
              <w:t>Royal College of Pathologists</w:t>
            </w:r>
            <w:r w:rsidRPr="00754BC6">
              <w:rPr>
                <w:i/>
                <w:iCs/>
              </w:rPr>
              <w:t>. Dataset for histopathology reports for prostatic carcinoma</w:t>
            </w:r>
            <w:r w:rsidRPr="00754BC6">
              <w:t xml:space="preserve">. Available </w:t>
            </w:r>
            <w:r w:rsidR="00465E9E" w:rsidRPr="00754BC6">
              <w:t>at:</w:t>
            </w:r>
            <w:r w:rsidRPr="00754BC6">
              <w:t xml:space="preserve">  </w:t>
            </w:r>
            <w:hyperlink r:id="rId11" w:history="1">
              <w:r w:rsidRPr="00754BC6">
                <w:rPr>
                  <w:rStyle w:val="Hyperlink"/>
                </w:rPr>
                <w:t>https://www.rcpath.org/profession/guidelines/cancer-datasets-and-tissue-pathways.html#</w:t>
              </w:r>
            </w:hyperlink>
            <w:r w:rsidRPr="00754BC6">
              <w:t xml:space="preserve"> </w:t>
            </w:r>
            <w:r w:rsidRPr="00754BC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F5516E3" w14:textId="3062C81E" w:rsidR="005A6DD2" w:rsidRPr="00876760" w:rsidRDefault="005A6DD2" w:rsidP="005A6DD2">
            <w:pPr>
              <w:pStyle w:val="Numberedlist"/>
            </w:pPr>
            <w:r w:rsidRPr="00754BC6">
              <w:t xml:space="preserve">Royal College of Pathologists. </w:t>
            </w:r>
            <w:r w:rsidRPr="00754BC6">
              <w:rPr>
                <w:i/>
                <w:iCs/>
              </w:rPr>
              <w:t>Key performance indicators – proposals for implementation</w:t>
            </w:r>
            <w:r w:rsidRPr="00754BC6">
              <w:t xml:space="preserve">. Available at: </w:t>
            </w:r>
            <w:hyperlink r:id="rId12" w:history="1">
              <w:r w:rsidRPr="00754BC6">
                <w:rPr>
                  <w:rStyle w:val="Hyperlink"/>
                  <w:rFonts w:eastAsia="Arial"/>
                </w:rPr>
                <w:t>https://www.rcpath.org/profession/guidelines/kpis-for-laboratory-services.html</w:t>
              </w:r>
            </w:hyperlink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5BDA933D" w14:textId="373B0896" w:rsidR="005A6DD2" w:rsidRDefault="00860AF9" w:rsidP="005A6DD2">
      <w:pPr>
        <w:pStyle w:val="Heading2"/>
      </w:pPr>
      <w:r w:rsidRPr="00077B16">
        <w:rPr>
          <w:bCs/>
        </w:rPr>
        <w:br w:type="page"/>
      </w:r>
      <w:r w:rsidR="005A6DD2">
        <w:lastRenderedPageBreak/>
        <w:t>Data collection proforma for transurethral resection of prostate</w:t>
      </w:r>
      <w:r w:rsidR="005A6DD2">
        <w:t xml:space="preserve"> </w:t>
      </w:r>
      <w:r w:rsidR="005A6DD2">
        <w:t>specimens</w:t>
      </w:r>
    </w:p>
    <w:p w14:paraId="4FCE2F14" w14:textId="6B4F6080" w:rsidR="009929C5" w:rsidRPr="009349D7" w:rsidRDefault="005A6DD2" w:rsidP="005A6DD2">
      <w:pPr>
        <w:pStyle w:val="Heading2"/>
        <w:rPr>
          <w:szCs w:val="24"/>
        </w:rPr>
      </w:pPr>
      <w:r>
        <w:t>Audit reviewing practice</w:t>
      </w: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4579EE0" w14:textId="2A17AA5E" w:rsidR="007637F5" w:rsidRPr="009349D7" w:rsidRDefault="00BF12ED" w:rsidP="001F037A">
      <w:r w:rsidRPr="009349D7">
        <w:t>Consultant:</w:t>
      </w:r>
    </w:p>
    <w:p w14:paraId="4030B05B" w14:textId="136FE3E9" w:rsidR="00603ECE" w:rsidRPr="001F037A" w:rsidRDefault="0051663B" w:rsidP="001F037A">
      <w:r w:rsidRPr="009349D7">
        <w:t xml:space="preserve">Case number: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864"/>
        <w:gridCol w:w="850"/>
        <w:gridCol w:w="2410"/>
        <w:gridCol w:w="2913"/>
      </w:tblGrid>
      <w:tr w:rsidR="005A6DD2" w:rsidRPr="00077B16" w14:paraId="096252DE" w14:textId="77777777" w:rsidTr="005A6DD2">
        <w:trPr>
          <w:cantSplit/>
          <w:trHeight w:val="128"/>
        </w:trPr>
        <w:tc>
          <w:tcPr>
            <w:tcW w:w="2817" w:type="dxa"/>
            <w:tcBorders>
              <w:bottom w:val="single" w:sz="4" w:space="0" w:color="auto"/>
            </w:tcBorders>
          </w:tcPr>
          <w:p w14:paraId="26EA664E" w14:textId="1320528F" w:rsidR="005A6DD2" w:rsidRPr="001F037A" w:rsidRDefault="005A6DD2" w:rsidP="005A6DD2">
            <w:pPr>
              <w:pStyle w:val="Tabletext"/>
            </w:pPr>
            <w:r w:rsidRPr="00BD18CC">
              <w:rPr>
                <w:rFonts w:cs="Arial"/>
                <w:b/>
                <w:lang w:val="sv-SE"/>
              </w:rPr>
              <w:t>Standards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6C68119" w14:textId="77777777" w:rsidR="005A6DD2" w:rsidRPr="00BD18CC" w:rsidRDefault="005A6DD2" w:rsidP="005A6DD2">
            <w:pPr>
              <w:keepNext/>
              <w:rPr>
                <w:rFonts w:cs="Arial"/>
                <w:b/>
                <w:bCs/>
              </w:rPr>
            </w:pPr>
            <w:r w:rsidRPr="00BD18CC">
              <w:rPr>
                <w:rFonts w:cs="Arial"/>
                <w:b/>
                <w:bCs/>
              </w:rPr>
              <w:t>1</w:t>
            </w:r>
          </w:p>
          <w:p w14:paraId="4BAF7515" w14:textId="58536A15" w:rsidR="005A6DD2" w:rsidRPr="00781C28" w:rsidRDefault="005A6DD2" w:rsidP="005A6DD2">
            <w:pPr>
              <w:pStyle w:val="Tabletext"/>
            </w:pPr>
            <w:r w:rsidRPr="006B65EE">
              <w:rPr>
                <w:rFonts w:cs="Arial"/>
                <w:b/>
              </w:rPr>
              <w:t xml:space="preserve">Yes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0A0472" w14:textId="77777777" w:rsidR="005A6DD2" w:rsidRPr="00BD18CC" w:rsidRDefault="005A6DD2" w:rsidP="005A6DD2">
            <w:pPr>
              <w:keepNext/>
              <w:rPr>
                <w:rFonts w:cs="Arial"/>
                <w:b/>
                <w:bCs/>
              </w:rPr>
            </w:pPr>
            <w:r w:rsidRPr="00BD18CC">
              <w:rPr>
                <w:rFonts w:cs="Arial"/>
                <w:b/>
                <w:bCs/>
              </w:rPr>
              <w:t>2</w:t>
            </w:r>
          </w:p>
          <w:p w14:paraId="0FFDB801" w14:textId="7C59692B" w:rsidR="005A6DD2" w:rsidRPr="00781C28" w:rsidRDefault="005A6DD2" w:rsidP="005A6DD2">
            <w:pPr>
              <w:pStyle w:val="Tabletext"/>
            </w:pPr>
            <w:r w:rsidRPr="006B65EE">
              <w:rPr>
                <w:rFonts w:cs="Arial"/>
                <w:b/>
              </w:rPr>
              <w:t>No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8E7D1C" w14:textId="50842558" w:rsidR="005A6DD2" w:rsidRPr="00781C28" w:rsidRDefault="005A6DD2" w:rsidP="005A6DD2">
            <w:pPr>
              <w:pStyle w:val="Tabletext"/>
              <w:ind w:left="308" w:hanging="308"/>
            </w:pPr>
            <w:r w:rsidRPr="00BD18CC">
              <w:rPr>
                <w:rFonts w:cs="Arial"/>
                <w:b/>
                <w:bCs/>
              </w:rPr>
              <w:t>3</w:t>
            </w:r>
            <w:r w:rsidRPr="00BD18CC">
              <w:rPr>
                <w:rFonts w:cs="Arial"/>
                <w:b/>
                <w:bCs/>
              </w:rPr>
              <w:tab/>
            </w:r>
            <w:r w:rsidRPr="00BD18CC">
              <w:rPr>
                <w:rFonts w:cs="Arial"/>
              </w:rPr>
              <w:t xml:space="preserve">If no, was there documentation to explain the variance? </w:t>
            </w:r>
            <w:r w:rsidRPr="00BD18CC">
              <w:rPr>
                <w:rFonts w:cs="Arial"/>
              </w:rPr>
              <w:br/>
            </w:r>
            <w:r w:rsidRPr="006B65EE">
              <w:rPr>
                <w:rFonts w:cs="Arial"/>
                <w:b/>
              </w:rPr>
              <w:t>Yes/No</w:t>
            </w:r>
            <w:r w:rsidRPr="00BD18CC">
              <w:rPr>
                <w:rFonts w:cs="Arial"/>
              </w:rPr>
              <w:t xml:space="preserve"> plus free-text comment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5E62A50A" w14:textId="36C65DCE" w:rsidR="005A6DD2" w:rsidRPr="00781C28" w:rsidRDefault="005A6DD2" w:rsidP="005A6DD2">
            <w:pPr>
              <w:pStyle w:val="Tabletext"/>
              <w:ind w:left="308" w:hanging="308"/>
              <w:rPr>
                <w:bCs/>
              </w:rPr>
            </w:pPr>
            <w:r w:rsidRPr="00BD18CC">
              <w:rPr>
                <w:rFonts w:cs="Arial"/>
                <w:b/>
                <w:bCs/>
              </w:rPr>
              <w:t>4</w:t>
            </w:r>
            <w:r w:rsidRPr="00BD18CC">
              <w:rPr>
                <w:rFonts w:cs="Arial"/>
                <w:b/>
                <w:bCs/>
              </w:rPr>
              <w:tab/>
            </w:r>
            <w:r w:rsidRPr="00BD18CC">
              <w:rPr>
                <w:rFonts w:cs="Arial"/>
              </w:rPr>
              <w:t xml:space="preserve">Compliant with guideline based on </w:t>
            </w:r>
            <w:r w:rsidRPr="00BD18CC">
              <w:rPr>
                <w:rFonts w:cs="Arial"/>
                <w:b/>
                <w:bCs/>
              </w:rPr>
              <w:t>Yes</w:t>
            </w:r>
            <w:r w:rsidRPr="00BD18CC">
              <w:rPr>
                <w:rFonts w:cs="Arial"/>
              </w:rPr>
              <w:t xml:space="preserve"> from column 1 or an appropriate explanation from column 3. </w:t>
            </w:r>
            <w:r w:rsidRPr="006B65EE">
              <w:rPr>
                <w:rFonts w:cs="Arial"/>
                <w:b/>
              </w:rPr>
              <w:t>Yes/No</w:t>
            </w:r>
          </w:p>
        </w:tc>
      </w:tr>
      <w:tr w:rsidR="005A6DD2" w:rsidRPr="00077B16" w14:paraId="68DFAF5C" w14:textId="77777777" w:rsidTr="005A6DD2">
        <w:trPr>
          <w:cantSplit/>
          <w:trHeight w:val="5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726" w14:textId="528DD694" w:rsidR="005A6DD2" w:rsidRPr="00077B16" w:rsidRDefault="005A6DD2" w:rsidP="005A6DD2">
            <w:pPr>
              <w:pStyle w:val="Tabletext"/>
            </w:pPr>
            <w:r w:rsidDel="002A2AF9">
              <w:t>I</w:t>
            </w:r>
            <w:r w:rsidRPr="00CB6F9A" w:rsidDel="002A2AF9">
              <w:t xml:space="preserve">ndication for </w:t>
            </w:r>
            <w:r w:rsidDel="002A2AF9">
              <w:t>TURP</w:t>
            </w:r>
            <w:r w:rsidRPr="00CB6F9A" w:rsidDel="002A2AF9">
              <w:t xml:space="preserve"> mentioned.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EA1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EAC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3D0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</w:tr>
      <w:tr w:rsidR="005A6DD2" w:rsidRPr="00077B16" w14:paraId="281C1E04" w14:textId="77777777" w:rsidTr="005A6DD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266DBAD1" w:rsidR="005A6DD2" w:rsidRPr="00077B16" w:rsidRDefault="005A6DD2" w:rsidP="005A6DD2">
            <w:pPr>
              <w:pStyle w:val="Tabletext"/>
              <w:rPr>
                <w:color w:val="FF0000"/>
              </w:rPr>
            </w:pPr>
            <w:r w:rsidRPr="00302797">
              <w:t>PSA levels mentioned?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</w:tr>
      <w:tr w:rsidR="005A6DD2" w:rsidRPr="00077B16" w14:paraId="3CB1828E" w14:textId="77777777" w:rsidTr="005A6DD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5AA4AF9A" w:rsidR="005A6DD2" w:rsidRPr="00077B16" w:rsidRDefault="005A6DD2" w:rsidP="005A6DD2">
            <w:pPr>
              <w:pStyle w:val="Tabletext"/>
              <w:rPr>
                <w:b/>
                <w:bCs/>
              </w:rPr>
            </w:pPr>
            <w:r w:rsidRPr="00CB6F9A" w:rsidDel="002A2AF9">
              <w:t xml:space="preserve">Weight </w:t>
            </w:r>
            <w:r w:rsidDel="002A2AF9">
              <w:t xml:space="preserve">measured?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</w:tr>
      <w:tr w:rsidR="005A6DD2" w:rsidRPr="00077B16" w14:paraId="0251DA41" w14:textId="77777777" w:rsidTr="005A6DD2">
        <w:trPr>
          <w:cantSplit/>
          <w:trHeight w:val="7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7AF19250" w:rsidR="005A6DD2" w:rsidRPr="00077B16" w:rsidRDefault="005A6DD2" w:rsidP="005A6DD2">
            <w:pPr>
              <w:pStyle w:val="Tabletext"/>
            </w:pPr>
            <w:r w:rsidRPr="00302797">
              <w:t>% of tissue embedded (or number of cassettes)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17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</w:tr>
      <w:tr w:rsidR="005A6DD2" w:rsidRPr="00077B16" w14:paraId="7CE77257" w14:textId="77777777" w:rsidTr="005A6DD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2087126E" w:rsidR="005A6DD2" w:rsidRPr="00077B16" w:rsidRDefault="005A6DD2" w:rsidP="005A6DD2">
            <w:pPr>
              <w:pStyle w:val="Tabletext"/>
            </w:pPr>
            <w:r w:rsidRPr="00302797">
              <w:t>Immunohistochemistry required?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</w:tr>
      <w:tr w:rsidR="005A6DD2" w:rsidRPr="00077B16" w14:paraId="339C338B" w14:textId="77777777" w:rsidTr="005A6DD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78DADA1A" w:rsidR="005A6DD2" w:rsidRPr="00077B16" w:rsidRDefault="005A6DD2" w:rsidP="005A6DD2">
            <w:pPr>
              <w:pStyle w:val="Tabletext"/>
            </w:pPr>
            <w:r w:rsidRPr="00302797">
              <w:t>% malignant?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F3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</w:tr>
      <w:tr w:rsidR="005A6DD2" w:rsidRPr="00077B16" w14:paraId="5E79D2C8" w14:textId="77777777" w:rsidTr="005A6DD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C9" w14:textId="7EEE16F8" w:rsidR="005A6DD2" w:rsidRPr="00077B16" w:rsidRDefault="005A6DD2" w:rsidP="005A6DD2">
            <w:pPr>
              <w:pStyle w:val="Tabletext"/>
            </w:pPr>
            <w:r w:rsidRPr="00302797">
              <w:t xml:space="preserve">Note the absence of invasive prostatic adenocarcinoma, or PIN. If tumour present, </w:t>
            </w:r>
            <w:r w:rsidRPr="008A427A">
              <w:t>were core data items required by the RCPath prostate cancer dataset reported</w:t>
            </w:r>
            <w:r w:rsidRPr="00302797">
              <w:t xml:space="preserve">?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CD7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4F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3F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</w:tr>
      <w:tr w:rsidR="005A6DD2" w:rsidRPr="00077B16" w14:paraId="4055AAB7" w14:textId="77777777" w:rsidTr="005A6DD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2D1BA52D" w:rsidR="005A6DD2" w:rsidRPr="00077B16" w:rsidRDefault="005A6DD2" w:rsidP="005A6DD2">
            <w:pPr>
              <w:pStyle w:val="Tabletext"/>
              <w:rPr>
                <w:color w:val="FF0000"/>
              </w:rPr>
            </w:pPr>
            <w:r w:rsidRPr="00302797">
              <w:rPr>
                <w:rFonts w:cs="Arial"/>
              </w:rPr>
              <w:t xml:space="preserve">Note </w:t>
            </w:r>
            <w:r>
              <w:rPr>
                <w:rFonts w:cs="Arial"/>
              </w:rPr>
              <w:t>if</w:t>
            </w:r>
            <w:r w:rsidRPr="00302797">
              <w:rPr>
                <w:rFonts w:cs="Arial"/>
              </w:rPr>
              <w:t xml:space="preserve"> any urothelial abnormality pre</w:t>
            </w:r>
            <w:r>
              <w:rPr>
                <w:rFonts w:cs="Arial"/>
              </w:rPr>
              <w:t>sent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9C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</w:tr>
      <w:tr w:rsidR="005A6DD2" w:rsidRPr="00077B16" w14:paraId="1D045AA4" w14:textId="77777777" w:rsidTr="005A6DD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48A0B303" w:rsidR="005A6DD2" w:rsidRPr="00077B16" w:rsidRDefault="005A6DD2" w:rsidP="005A6DD2">
            <w:pPr>
              <w:pStyle w:val="Tabletext"/>
            </w:pPr>
            <w:r>
              <w:rPr>
                <w:rFonts w:cs="Arial"/>
              </w:rPr>
              <w:t>Turnaround times?</w:t>
            </w:r>
            <w:r w:rsidRPr="005557CE">
              <w:rPr>
                <w:rFonts w:cs="Arial"/>
              </w:rPr>
              <w:tab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5A6DD2" w:rsidRPr="00077B16" w:rsidRDefault="005A6DD2" w:rsidP="005A6DD2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6C8FE884" w:rsidR="002806C7" w:rsidRPr="009349D7" w:rsidRDefault="005A6DD2" w:rsidP="001F037A">
            <w:pPr>
              <w:pStyle w:val="Tabletext"/>
              <w:spacing w:line="360" w:lineRule="auto"/>
            </w:pPr>
            <w:r w:rsidRPr="003D0426">
              <w:rPr>
                <w:rStyle w:val="cf01"/>
                <w:rFonts w:ascii="Arial" w:hAnsi="Arial" w:cs="Arial"/>
                <w:sz w:val="24"/>
                <w:szCs w:val="24"/>
              </w:rPr>
              <w:t>An audit of quality of histopathology reporting of transurethral resection of prostate specimens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libr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A753" w14:textId="1B7F029C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465E9E">
      <w:rPr>
        <w:rFonts w:cs="Arial"/>
        <w:sz w:val="20"/>
        <w:szCs w:val="20"/>
      </w:rPr>
      <w:t>211124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69" w14:textId="54EADDEB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3872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5A6DD2">
      <w:rPr>
        <w:rFonts w:cs="Arial"/>
        <w:sz w:val="20"/>
        <w:szCs w:val="20"/>
      </w:rPr>
      <w:t>211124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30FE" w14:textId="2EDCC2A6" w:rsidR="00590DC3" w:rsidRPr="00927185" w:rsidRDefault="00DD172C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A2F5A"/>
    <w:multiLevelType w:val="hybridMultilevel"/>
    <w:tmpl w:val="ACBAE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7"/>
  </w:num>
  <w:num w:numId="2" w16cid:durableId="1188449754">
    <w:abstractNumId w:val="22"/>
  </w:num>
  <w:num w:numId="3" w16cid:durableId="1837838498">
    <w:abstractNumId w:val="5"/>
  </w:num>
  <w:num w:numId="4" w16cid:durableId="1977566131">
    <w:abstractNumId w:val="6"/>
  </w:num>
  <w:num w:numId="5" w16cid:durableId="1911698097">
    <w:abstractNumId w:val="16"/>
  </w:num>
  <w:num w:numId="6" w16cid:durableId="1681543166">
    <w:abstractNumId w:val="27"/>
  </w:num>
  <w:num w:numId="7" w16cid:durableId="2110732581">
    <w:abstractNumId w:val="11"/>
  </w:num>
  <w:num w:numId="8" w16cid:durableId="150567517">
    <w:abstractNumId w:val="18"/>
  </w:num>
  <w:num w:numId="9" w16cid:durableId="118693893">
    <w:abstractNumId w:val="12"/>
  </w:num>
  <w:num w:numId="10" w16cid:durableId="356666159">
    <w:abstractNumId w:val="1"/>
  </w:num>
  <w:num w:numId="11" w16cid:durableId="13655170">
    <w:abstractNumId w:val="26"/>
  </w:num>
  <w:num w:numId="12" w16cid:durableId="937830974">
    <w:abstractNumId w:val="30"/>
  </w:num>
  <w:num w:numId="13" w16cid:durableId="1311669074">
    <w:abstractNumId w:val="25"/>
  </w:num>
  <w:num w:numId="14" w16cid:durableId="1241059685">
    <w:abstractNumId w:val="23"/>
  </w:num>
  <w:num w:numId="15" w16cid:durableId="2138598035">
    <w:abstractNumId w:val="2"/>
  </w:num>
  <w:num w:numId="16" w16cid:durableId="1676764879">
    <w:abstractNumId w:val="31"/>
  </w:num>
  <w:num w:numId="17" w16cid:durableId="1758669902">
    <w:abstractNumId w:val="21"/>
  </w:num>
  <w:num w:numId="18" w16cid:durableId="1935357735">
    <w:abstractNumId w:val="9"/>
  </w:num>
  <w:num w:numId="19" w16cid:durableId="382631689">
    <w:abstractNumId w:val="29"/>
  </w:num>
  <w:num w:numId="20" w16cid:durableId="1163424478">
    <w:abstractNumId w:val="20"/>
  </w:num>
  <w:num w:numId="21" w16cid:durableId="156192729">
    <w:abstractNumId w:val="17"/>
  </w:num>
  <w:num w:numId="22" w16cid:durableId="1930310314">
    <w:abstractNumId w:val="28"/>
  </w:num>
  <w:num w:numId="23" w16cid:durableId="922880505">
    <w:abstractNumId w:val="19"/>
  </w:num>
  <w:num w:numId="24" w16cid:durableId="661615937">
    <w:abstractNumId w:val="14"/>
  </w:num>
  <w:num w:numId="25" w16cid:durableId="1329015147">
    <w:abstractNumId w:val="3"/>
  </w:num>
  <w:num w:numId="26" w16cid:durableId="214778267">
    <w:abstractNumId w:val="10"/>
  </w:num>
  <w:num w:numId="27" w16cid:durableId="1755466984">
    <w:abstractNumId w:val="13"/>
  </w:num>
  <w:num w:numId="28" w16cid:durableId="1748458345">
    <w:abstractNumId w:val="8"/>
  </w:num>
  <w:num w:numId="29" w16cid:durableId="1067455065">
    <w:abstractNumId w:val="4"/>
  </w:num>
  <w:num w:numId="30" w16cid:durableId="1740667139">
    <w:abstractNumId w:val="15"/>
  </w:num>
  <w:num w:numId="31" w16cid:durableId="797454649">
    <w:abstractNumId w:val="0"/>
  </w:num>
  <w:num w:numId="32" w16cid:durableId="111228388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265F2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4D77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5E9E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A6DD2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AF77EE"/>
    <w:rsid w:val="00B10E5A"/>
    <w:rsid w:val="00B1219C"/>
    <w:rsid w:val="00B24EE4"/>
    <w:rsid w:val="00B420AD"/>
    <w:rsid w:val="00B45883"/>
    <w:rsid w:val="00B764BA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34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path.org/profession/guidelines/kpis-for-laboratory-service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ath.org/profession/guidelines/cancer-datasets-and-tissue-pathway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cbb744a-7f82-41b7-a756-bec761ac2a3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6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2</cp:revision>
  <cp:lastPrinted>2011-10-27T15:55:00Z</cp:lastPrinted>
  <dcterms:created xsi:type="dcterms:W3CDTF">2024-11-21T09:23:00Z</dcterms:created>
  <dcterms:modified xsi:type="dcterms:W3CDTF">2024-11-21T09:23:00Z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